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8D29" w14:textId="77777777" w:rsidR="008A7473" w:rsidRDefault="008A7473">
      <w:pPr>
        <w:pStyle w:val="Kopfzeile"/>
        <w:tabs>
          <w:tab w:val="clear" w:pos="4536"/>
          <w:tab w:val="clear" w:pos="9072"/>
        </w:tabs>
      </w:pPr>
    </w:p>
    <w:tbl>
      <w:tblPr>
        <w:tblStyle w:val="TableNormal"/>
        <w:tblW w:w="91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41"/>
        <w:gridCol w:w="1726"/>
      </w:tblGrid>
      <w:tr w:rsidR="008A7473" w14:paraId="3F4A4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4B23" w14:textId="77777777" w:rsidR="008A7473" w:rsidRDefault="00AF224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Drucksachen</w:t>
            </w:r>
          </w:p>
          <w:p w14:paraId="6BAE7779" w14:textId="77777777" w:rsidR="008A7473" w:rsidRDefault="00AF224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der Bezirksverordnetenversammlung </w:t>
            </w:r>
          </w:p>
          <w:p w14:paraId="1F2A3D2B" w14:textId="77777777" w:rsidR="008A7473" w:rsidRDefault="00AF2246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Tempelhof-Schöneberg von Berlin</w:t>
            </w:r>
          </w:p>
          <w:p w14:paraId="327956CA" w14:textId="77777777" w:rsidR="008A7473" w:rsidRDefault="00AF2246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rPr>
                <w:b/>
                <w:bCs/>
              </w:rPr>
              <w:t>XX. Wahlperiode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57C0" w14:textId="77777777" w:rsidR="008A7473" w:rsidRDefault="00AF2246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D013C90" wp14:editId="337D4A56">
                  <wp:extent cx="838200" cy="1196340"/>
                  <wp:effectExtent l="0" t="0" r="0" b="0"/>
                  <wp:docPr id="1073741825" name="officeArt object" descr="030327 Wappen_neu_200x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030327 Wappen_neu_200x285" descr="030327 Wappen_neu_200x28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EA1B0" w14:textId="77777777" w:rsidR="008A7473" w:rsidRDefault="008A7473">
      <w:pPr>
        <w:pStyle w:val="Kopfzeile"/>
        <w:widowControl w:val="0"/>
        <w:tabs>
          <w:tab w:val="clear" w:pos="4536"/>
          <w:tab w:val="clear" w:pos="9072"/>
        </w:tabs>
      </w:pPr>
    </w:p>
    <w:p w14:paraId="4C4D96C8" w14:textId="77777777" w:rsidR="008A7473" w:rsidRDefault="008A7473">
      <w:pPr>
        <w:pStyle w:val="Kopfzeile"/>
        <w:tabs>
          <w:tab w:val="clear" w:pos="4536"/>
          <w:tab w:val="clear" w:pos="9072"/>
        </w:tabs>
      </w:pPr>
    </w:p>
    <w:p w14:paraId="579E5930" w14:textId="77777777" w:rsidR="008A7473" w:rsidRDefault="00AF2246">
      <w:pPr>
        <w:spacing w:line="276" w:lineRule="auto"/>
        <w:jc w:val="both"/>
      </w:pPr>
      <w:r>
        <w:rPr>
          <w:sz w:val="24"/>
          <w:szCs w:val="24"/>
        </w:rPr>
        <w:t xml:space="preserve">Ursprung: </w:t>
      </w:r>
      <w:r>
        <w:t xml:space="preserve">DIE LINKE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7724"/>
      </w:tblGrid>
      <w:tr w:rsidR="008A7473" w14:paraId="04387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5ACE" w14:textId="77777777" w:rsidR="008A7473" w:rsidRDefault="00AF2246">
            <w:pPr>
              <w:pStyle w:val="Kopfzeile"/>
              <w:tabs>
                <w:tab w:val="clear" w:pos="4536"/>
                <w:tab w:val="clear" w:pos="9072"/>
              </w:tabs>
            </w:pPr>
            <w:r>
              <w:t>Beratungsfolge:</w:t>
            </w:r>
          </w:p>
        </w:tc>
      </w:tr>
      <w:tr w:rsidR="008A7473" w14:paraId="6FF87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5DAE" w14:textId="77777777" w:rsidR="008A7473" w:rsidRDefault="00AF2246">
            <w:pPr>
              <w:pStyle w:val="berschrift4"/>
              <w:spacing w:before="0" w:after="0"/>
            </w:pPr>
            <w:r>
              <w:t>Datum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960F" w14:textId="77777777" w:rsidR="008A7473" w:rsidRDefault="00AF2246">
            <w:pPr>
              <w:pStyle w:val="berschrift5"/>
              <w:spacing w:before="0" w:after="0"/>
            </w:pPr>
            <w:r>
              <w:rPr>
                <w:sz w:val="20"/>
                <w:szCs w:val="20"/>
              </w:rPr>
              <w:t>Gremium</w:t>
            </w:r>
          </w:p>
        </w:tc>
      </w:tr>
      <w:tr w:rsidR="008A7473" w14:paraId="04FF2B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2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76C5" w14:textId="77777777" w:rsidR="008A7473" w:rsidRDefault="00AF2246">
            <w:pPr>
              <w:tabs>
                <w:tab w:val="left" w:pos="1418"/>
                <w:tab w:val="left" w:pos="2268"/>
              </w:tabs>
            </w:pPr>
            <w:r>
              <w:t>Wird von Allris automatisch ausgefüllt.</w:t>
            </w:r>
          </w:p>
        </w:tc>
      </w:tr>
      <w:tr w:rsidR="008A7473" w14:paraId="29264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2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AF7E" w14:textId="77777777" w:rsidR="008A7473" w:rsidRDefault="008A7473"/>
        </w:tc>
      </w:tr>
    </w:tbl>
    <w:p w14:paraId="3C4F7DF8" w14:textId="77777777" w:rsidR="008A7473" w:rsidRDefault="008A7473">
      <w:pPr>
        <w:widowControl w:val="0"/>
        <w:jc w:val="both"/>
      </w:pPr>
    </w:p>
    <w:p w14:paraId="50A0600B" w14:textId="77777777" w:rsidR="008A7473" w:rsidRDefault="008A7473">
      <w:pPr>
        <w:pStyle w:val="Kopfzeile"/>
        <w:tabs>
          <w:tab w:val="clear" w:pos="4536"/>
          <w:tab w:val="clear" w:pos="9072"/>
        </w:tabs>
      </w:pPr>
    </w:p>
    <w:p w14:paraId="339174BE" w14:textId="77777777" w:rsidR="008A7473" w:rsidRDefault="008A7473">
      <w:pPr>
        <w:pStyle w:val="Kopfzeile"/>
        <w:tabs>
          <w:tab w:val="clear" w:pos="4536"/>
          <w:tab w:val="clear" w:pos="9072"/>
        </w:tabs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1673"/>
        <w:gridCol w:w="1604"/>
      </w:tblGrid>
      <w:tr w:rsidR="008A7473" w14:paraId="3E39C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6254" w14:textId="77777777" w:rsidR="008A7473" w:rsidRDefault="00AF2246">
            <w:pPr>
              <w:pStyle w:val="berschrift1"/>
            </w:pPr>
            <w:r>
              <w:fldChar w:fldCharType="begin"/>
            </w:r>
            <w:r>
              <w:instrText xml:space="preserve"> MERGEFIELD VOVANR </w:instrText>
            </w:r>
            <w:r>
              <w:fldChar w:fldCharType="separate"/>
            </w:r>
            <w:r>
              <w:t>Antrag</w:t>
            </w:r>
            <w:r>
              <w:fldChar w:fldCharType="end"/>
            </w:r>
          </w:p>
          <w:p w14:paraId="04213165" w14:textId="77777777" w:rsidR="008A7473" w:rsidRDefault="00AF2246">
            <w:r>
              <w:t xml:space="preserve">Wird von Allris </w:t>
            </w:r>
            <w:r>
              <w:t>automatisch ausgefüllt.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B35B" w14:textId="77777777" w:rsidR="008A7473" w:rsidRDefault="00AF2246">
            <w:pPr>
              <w:tabs>
                <w:tab w:val="left" w:pos="1490"/>
              </w:tabs>
              <w:spacing w:before="120"/>
            </w:pPr>
            <w:r>
              <w:rPr>
                <w:b/>
                <w:bCs/>
                <w:sz w:val="28"/>
                <w:szCs w:val="28"/>
              </w:rPr>
              <w:t>Drucks. Nr: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5E5B" w14:textId="77777777" w:rsidR="008A7473" w:rsidRDefault="00AF2246">
            <w:pPr>
              <w:tabs>
                <w:tab w:val="left" w:pos="1490"/>
              </w:tabs>
              <w:spacing w:before="120" w:after="120"/>
              <w:jc w:val="right"/>
            </w:pPr>
            <w:r>
              <w:t>automatisch erstellt.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MERGEFIELD VONAME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/XIX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 Unicode MS" w:hAnsi="Arial Unicode MS"/>
                <w:sz w:val="28"/>
                <w:szCs w:val="28"/>
              </w:rPr>
              <w:br/>
            </w:r>
          </w:p>
        </w:tc>
      </w:tr>
      <w:tr w:rsidR="008A7473" w14:paraId="70858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AF3D" w14:textId="77777777" w:rsidR="008A7473" w:rsidRDefault="00AF2246"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Stra</w:t>
            </w: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ß</w:t>
            </w: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en(um)benennungen: Ein geregeltes Verfahren sichern</w:t>
            </w:r>
          </w:p>
        </w:tc>
      </w:tr>
    </w:tbl>
    <w:p w14:paraId="4DF90B9B" w14:textId="77777777" w:rsidR="008A7473" w:rsidRDefault="008A7473">
      <w:pPr>
        <w:pStyle w:val="Kopfzeile"/>
        <w:widowControl w:val="0"/>
        <w:tabs>
          <w:tab w:val="clear" w:pos="4536"/>
          <w:tab w:val="clear" w:pos="9072"/>
        </w:tabs>
      </w:pPr>
    </w:p>
    <w:p w14:paraId="663F08F5" w14:textId="77777777" w:rsidR="008A7473" w:rsidRDefault="008A7473">
      <w:pPr>
        <w:pStyle w:val="Kopfzeile"/>
        <w:tabs>
          <w:tab w:val="clear" w:pos="4536"/>
          <w:tab w:val="clear" w:pos="9072"/>
        </w:tabs>
      </w:pPr>
    </w:p>
    <w:p w14:paraId="1B477C11" w14:textId="77777777" w:rsidR="008A7473" w:rsidRDefault="008A7473">
      <w:bookmarkStart w:id="0" w:name="Beschlußvorschlag"/>
      <w:bookmarkEnd w:id="0"/>
    </w:p>
    <w:p w14:paraId="206F6295" w14:textId="77777777" w:rsidR="008A7473" w:rsidRDefault="00AF2246">
      <w:pPr>
        <w:pStyle w:val="Kopfzeile"/>
        <w:tabs>
          <w:tab w:val="clear" w:pos="9072"/>
          <w:tab w:val="right" w:pos="9044"/>
        </w:tabs>
        <w:jc w:val="both"/>
      </w:pPr>
      <w:r>
        <w:t>Die Bezirksverordnetenversammlung möge beschließen:</w:t>
      </w:r>
    </w:p>
    <w:p w14:paraId="6C25AFC4" w14:textId="77777777" w:rsidR="008A7473" w:rsidRDefault="008A7473">
      <w:pPr>
        <w:pStyle w:val="Kopfzeile"/>
        <w:tabs>
          <w:tab w:val="clear" w:pos="9072"/>
          <w:tab w:val="right" w:pos="9044"/>
        </w:tabs>
        <w:jc w:val="both"/>
      </w:pPr>
    </w:p>
    <w:p w14:paraId="7CD4D089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>Die BVV m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ge beschlie</w:t>
      </w:r>
      <w:r>
        <w:rPr>
          <w:rFonts w:ascii="Helvetica Neue" w:hAnsi="Helvetica Neue"/>
          <w:i w:val="0"/>
          <w:iCs w:val="0"/>
          <w:sz w:val="22"/>
          <w:szCs w:val="22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en: </w:t>
      </w:r>
    </w:p>
    <w:p w14:paraId="0B510BFD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</w:p>
    <w:p w14:paraId="3F4591E5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 xml:space="preserve">Das Bezirksamt wird </w:t>
      </w:r>
      <w:r>
        <w:rPr>
          <w:rFonts w:ascii="Helvetica Neue" w:hAnsi="Helvetica Neue"/>
          <w:i w:val="0"/>
          <w:iCs w:val="0"/>
          <w:sz w:val="22"/>
          <w:szCs w:val="22"/>
        </w:rPr>
        <w:t>ersucht, aufbauend auf den Bestimmungen der AV Benennung des Landes Berlin bei einem entsprechenden BVV-Beschluss folgende Grunds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tze einzuhalten:</w:t>
      </w:r>
    </w:p>
    <w:p w14:paraId="6AFAE5BD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</w:p>
    <w:p w14:paraId="364C84EA" w14:textId="77777777" w:rsidR="008A7473" w:rsidRDefault="008A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atLeast"/>
        <w:jc w:val="both"/>
        <w:rPr>
          <w:rFonts w:ascii="Helvetica" w:eastAsia="Helvetica" w:hAnsi="Helvetica" w:cs="Helvetica"/>
          <w:shd w:val="clear" w:color="auto" w:fill="FFFFFF"/>
        </w:rPr>
      </w:pPr>
    </w:p>
    <w:p w14:paraId="3093C539" w14:textId="77777777" w:rsidR="008A7473" w:rsidRDefault="00AF2246">
      <w:pPr>
        <w:numPr>
          <w:ilvl w:val="0"/>
          <w:numId w:val="2"/>
        </w:num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Im Rahmen der Erarbeitung der bezirklichen </w:t>
      </w:r>
      <w:r>
        <w:rPr>
          <w:rFonts w:ascii="Helvetica Neue" w:hAnsi="Helvetica Neue"/>
        </w:rPr>
        <w:t>„</w:t>
      </w:r>
      <w:r>
        <w:rPr>
          <w:rFonts w:ascii="Helvetica Neue" w:hAnsi="Helvetica Neue"/>
        </w:rPr>
        <w:t>Leitlinien f</w:t>
      </w:r>
      <w:r>
        <w:rPr>
          <w:rFonts w:ascii="Helvetica Neue" w:hAnsi="Helvetica Neue"/>
        </w:rPr>
        <w:t>ü</w:t>
      </w:r>
      <w:r>
        <w:rPr>
          <w:rFonts w:ascii="Helvetica Neue" w:hAnsi="Helvetica Neue"/>
        </w:rPr>
        <w:t>r Beteiligung von B</w:t>
      </w:r>
      <w:r>
        <w:rPr>
          <w:rFonts w:ascii="Helvetica Neue" w:hAnsi="Helvetica Neue"/>
        </w:rPr>
        <w:t>ü</w:t>
      </w:r>
      <w:r>
        <w:rPr>
          <w:rFonts w:ascii="Helvetica Neue" w:hAnsi="Helvetica Neue"/>
        </w:rPr>
        <w:t>rgerinnen und B</w:t>
      </w:r>
      <w:r>
        <w:rPr>
          <w:rFonts w:ascii="Helvetica Neue" w:hAnsi="Helvetica Neue"/>
        </w:rPr>
        <w:t>ü</w:t>
      </w:r>
      <w:r>
        <w:rPr>
          <w:rFonts w:ascii="Helvetica Neue" w:hAnsi="Helvetica Neue"/>
        </w:rPr>
        <w:t>rgern</w:t>
      </w:r>
      <w:r>
        <w:rPr>
          <w:rFonts w:ascii="Helvetica Neue" w:hAnsi="Helvetica Neue"/>
        </w:rPr>
        <w:t>“</w:t>
      </w:r>
      <w:r>
        <w:rPr>
          <w:rFonts w:ascii="Helvetica Neue" w:hAnsi="Helvetica Neue"/>
        </w:rPr>
        <w:t>, die bi</w:t>
      </w:r>
      <w:r>
        <w:rPr>
          <w:rFonts w:ascii="Helvetica Neue" w:hAnsi="Helvetica Neue"/>
        </w:rPr>
        <w:t>s Ende 2021 beim BA unter Beteiligung der Zivilgesellschaft entstehen sollen, sollen ebenfalls Formen der Beteiligung bei anstehenden (Um)benennungen von Stra</w:t>
      </w:r>
      <w:r>
        <w:rPr>
          <w:rFonts w:ascii="Helvetica Neue" w:hAnsi="Helvetica Neue"/>
        </w:rPr>
        <w:t>ß</w:t>
      </w:r>
      <w:r>
        <w:rPr>
          <w:rFonts w:ascii="Helvetica Neue" w:hAnsi="Helvetica Neue"/>
        </w:rPr>
        <w:t>en, Pl</w:t>
      </w:r>
      <w:r>
        <w:rPr>
          <w:rFonts w:ascii="Helvetica Neue" w:hAnsi="Helvetica Neue"/>
        </w:rPr>
        <w:t>ä</w:t>
      </w:r>
      <w:r>
        <w:rPr>
          <w:rFonts w:ascii="Helvetica Neue" w:hAnsi="Helvetica Neue"/>
        </w:rPr>
        <w:t>tzen sowie</w:t>
      </w:r>
      <w:r>
        <w:rPr>
          <w:rFonts w:ascii="Helvetica Neue" w:hAnsi="Helvetica Neue"/>
        </w:rPr>
        <w:t xml:space="preserve"> ö</w:t>
      </w:r>
      <w:r>
        <w:rPr>
          <w:rFonts w:ascii="Helvetica Neue" w:hAnsi="Helvetica Neue"/>
        </w:rPr>
        <w:t>ffentlichen Geb</w:t>
      </w:r>
      <w:r>
        <w:rPr>
          <w:rFonts w:ascii="Helvetica Neue" w:hAnsi="Helvetica Neue"/>
        </w:rPr>
        <w:t>ä</w:t>
      </w:r>
      <w:r>
        <w:rPr>
          <w:rFonts w:ascii="Helvetica Neue" w:hAnsi="Helvetica Neue"/>
        </w:rPr>
        <w:t>uden und Liegenschaften</w:t>
      </w:r>
      <w:r>
        <w:rPr>
          <w:rFonts w:ascii="Helvetica Neue" w:hAnsi="Helvetica Neue"/>
        </w:rPr>
        <w:t xml:space="preserve"> ausgearbeitet werden.</w:t>
      </w:r>
    </w:p>
    <w:p w14:paraId="3001E8BC" w14:textId="77777777" w:rsidR="008A7473" w:rsidRDefault="00AF2246">
      <w:pPr>
        <w:pStyle w:val="berschrift2"/>
        <w:keepNext w:val="0"/>
        <w:numPr>
          <w:ilvl w:val="0"/>
          <w:numId w:val="2"/>
        </w:numPr>
        <w:jc w:val="both"/>
        <w:rPr>
          <w:rFonts w:ascii="Helvetica Neue" w:hAnsi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 xml:space="preserve">Der 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nderungswunsch ist grunds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tzlich im Kulturausschuss zu diskutieren. Die Gedenktafelkommission soll f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r ein vertiefte Beratung hinzugezogen werden. </w:t>
      </w:r>
    </w:p>
    <w:p w14:paraId="544A43A5" w14:textId="77777777" w:rsidR="008A7473" w:rsidRDefault="00AF2246">
      <w:pPr>
        <w:pStyle w:val="berschrift2"/>
        <w:keepNext w:val="0"/>
        <w:numPr>
          <w:ilvl w:val="0"/>
          <w:numId w:val="2"/>
        </w:numPr>
        <w:jc w:val="both"/>
        <w:rPr>
          <w:rFonts w:ascii="Helvetica Neue" w:hAnsi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>Das Bezirksamt wird ersucht zu pr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fen, ob im Falle einer Umbenennung Kosten bei 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der 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nderung amtlicher Dokumente f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>r die Anwohnenden durch das Bezirksamt getragen werden k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nnen. </w:t>
      </w:r>
    </w:p>
    <w:p w14:paraId="4011F87E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b/>
          <w:bCs/>
          <w:i w:val="0"/>
          <w:iCs w:val="0"/>
          <w:sz w:val="22"/>
          <w:szCs w:val="22"/>
        </w:rPr>
      </w:pPr>
    </w:p>
    <w:p w14:paraId="0C76D4AA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eastAsia="Helvetica Neue" w:hAnsi="Helvetica Neue" w:cs="Helvetica Neue"/>
          <w:i w:val="0"/>
          <w:iCs w:val="0"/>
          <w:sz w:val="22"/>
          <w:szCs w:val="22"/>
        </w:rPr>
        <w:br/>
      </w:r>
      <w:r>
        <w:rPr>
          <w:rFonts w:ascii="Helvetica Neue" w:eastAsia="Helvetica Neue" w:hAnsi="Helvetica Neue" w:cs="Helvetica Neue"/>
          <w:i w:val="0"/>
          <w:iCs w:val="0"/>
          <w:sz w:val="22"/>
          <w:szCs w:val="22"/>
        </w:rPr>
        <w:br/>
      </w:r>
      <w:r>
        <w:rPr>
          <w:rFonts w:ascii="Helvetica Neue" w:hAnsi="Helvetica Neue"/>
          <w:i w:val="0"/>
          <w:iCs w:val="0"/>
          <w:sz w:val="22"/>
          <w:szCs w:val="22"/>
        </w:rPr>
        <w:t>Begr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ndung:  </w:t>
      </w:r>
    </w:p>
    <w:p w14:paraId="45C93DE5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</w:p>
    <w:p w14:paraId="5458669D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>In der BVV mehrten sich zuletzt Antr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ge zur Um- und Neubenennung von Stra</w:t>
      </w:r>
      <w:r>
        <w:rPr>
          <w:rFonts w:ascii="Helvetica Neue" w:hAnsi="Helvetica Neue"/>
          <w:i w:val="0"/>
          <w:iCs w:val="0"/>
          <w:sz w:val="22"/>
          <w:szCs w:val="22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</w:rPr>
        <w:t>en und Pl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tzen. Es ist auff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llig, dass diese Antr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ge sich in dies</w:t>
      </w:r>
      <w:r>
        <w:rPr>
          <w:rFonts w:ascii="Helvetica Neue" w:hAnsi="Helvetica Neue"/>
          <w:i w:val="0"/>
          <w:iCs w:val="0"/>
          <w:sz w:val="22"/>
          <w:szCs w:val="22"/>
        </w:rPr>
        <w:t>em Jahr h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ufen. So hat sich ein regelrechter Wettlauf um die W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rdigungen im 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ffentlichen Stra</w:t>
      </w:r>
      <w:r>
        <w:rPr>
          <w:rFonts w:ascii="Helvetica Neue" w:hAnsi="Helvetica Neue"/>
          <w:i w:val="0"/>
          <w:iCs w:val="0"/>
          <w:sz w:val="22"/>
          <w:szCs w:val="22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enland entwickelt, sodass man </w:t>
      </w:r>
      <w:r>
        <w:rPr>
          <w:rFonts w:ascii="Helvetica Neue" w:hAnsi="Helvetica Neue"/>
          <w:i w:val="0"/>
          <w:iCs w:val="0"/>
          <w:sz w:val="22"/>
          <w:szCs w:val="22"/>
        </w:rPr>
        <w:lastRenderedPageBreak/>
        <w:t xml:space="preserve">von einer Modeerscheinung sprechen kann. Diese neue </w:t>
      </w:r>
      <w:r>
        <w:rPr>
          <w:rFonts w:ascii="Helvetica Neue" w:hAnsi="Helvetica Neue"/>
          <w:i w:val="0"/>
          <w:iCs w:val="0"/>
          <w:sz w:val="22"/>
          <w:szCs w:val="22"/>
        </w:rPr>
        <w:t>„</w:t>
      </w:r>
      <w:r>
        <w:rPr>
          <w:rFonts w:ascii="Helvetica Neue" w:hAnsi="Helvetica Neue"/>
          <w:i w:val="0"/>
          <w:iCs w:val="0"/>
          <w:sz w:val="22"/>
          <w:szCs w:val="22"/>
        </w:rPr>
        <w:t>Mode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“ </w:t>
      </w:r>
      <w:r>
        <w:rPr>
          <w:rFonts w:ascii="Helvetica Neue" w:hAnsi="Helvetica Neue"/>
          <w:i w:val="0"/>
          <w:iCs w:val="0"/>
          <w:sz w:val="22"/>
          <w:szCs w:val="22"/>
        </w:rPr>
        <w:t>geht einher mit einer Inflation von Namensvorschl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gen, die in </w:t>
      </w:r>
      <w:r>
        <w:rPr>
          <w:rFonts w:ascii="Helvetica Neue" w:hAnsi="Helvetica Neue"/>
          <w:i w:val="0"/>
          <w:iCs w:val="0"/>
          <w:sz w:val="22"/>
          <w:szCs w:val="22"/>
        </w:rPr>
        <w:t>vielen F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llen nicht aus der Bev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lkerung sondern aus den Fraktionszimmern stammen. Wenn Wahlkampfinteressen vor einer tats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chlichen Ehrung stehen, dann bedeutet diese Inflation die Entwertung der zu ehrenden Personen. Sie werden zu Objekten durchsichtiger p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olitischer Interessen: Diesen Trend gilt es zu stoppen. </w:t>
      </w:r>
    </w:p>
    <w:p w14:paraId="5E656881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</w:p>
    <w:p w14:paraId="73670409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>Die Forderung nach einem geregelten Verfahren kn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>pft an die Tradition bisheriger Benennungen an: Wir betrachten einen w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>rdevollen und tiefergehenden Umgang mit den zu Ehrenden als notwendig an, um t</w:t>
      </w:r>
      <w:r>
        <w:rPr>
          <w:rFonts w:ascii="Helvetica Neue" w:hAnsi="Helvetica Neue"/>
          <w:i w:val="0"/>
          <w:iCs w:val="0"/>
          <w:sz w:val="22"/>
          <w:szCs w:val="22"/>
        </w:rPr>
        <w:t>ragbare L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sungen zu entwickeln. Diese k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nnen nicht in einer verk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rzenden Debatte im Plenum sondern nur in einer Diskussion in den entsprechenden Fachgremien stattfinden. </w:t>
      </w:r>
    </w:p>
    <w:p w14:paraId="5212D20B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</w:p>
    <w:p w14:paraId="3710C4BE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 xml:space="preserve">Um gesellschaftlich akzeptierte Umbenennungen zu erwirken, bedarf es der </w:t>
      </w:r>
      <w:r>
        <w:rPr>
          <w:rFonts w:ascii="Helvetica Neue" w:hAnsi="Helvetica Neue"/>
          <w:i w:val="0"/>
          <w:iCs w:val="0"/>
          <w:sz w:val="22"/>
          <w:szCs w:val="22"/>
        </w:rPr>
        <w:t>vorzeitigen Einbeziehung der anwohnenden Bev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lkerung. In diesem Rahmen k</w:t>
      </w:r>
      <w:r>
        <w:rPr>
          <w:rFonts w:ascii="Helvetica Neue" w:hAnsi="Helvetica Neue"/>
          <w:i w:val="0"/>
          <w:iCs w:val="0"/>
          <w:sz w:val="22"/>
          <w:szCs w:val="22"/>
          <w:lang w:val="sv-SE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nnen die Leitlinien f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>r ein geregeltes Verfahren Standards setzen und auf folgende Fragen Antworten finden: Wie k</w:t>
      </w:r>
      <w:r>
        <w:rPr>
          <w:rFonts w:ascii="Helvetica Neue" w:hAnsi="Helvetica Neue"/>
          <w:i w:val="0"/>
          <w:iCs w:val="0"/>
          <w:sz w:val="22"/>
          <w:szCs w:val="22"/>
          <w:lang w:val="sv-SE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nnen betroffene Anwohnende 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ber einen </w:t>
      </w:r>
      <w:r>
        <w:rPr>
          <w:rFonts w:ascii="Helvetica Neue" w:hAnsi="Helvetica Neue"/>
          <w:i w:val="0"/>
          <w:iCs w:val="0"/>
          <w:sz w:val="22"/>
          <w:szCs w:val="22"/>
          <w:lang w:val="sv-SE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nderungswunsch von Stra</w:t>
      </w:r>
      <w:r>
        <w:rPr>
          <w:rFonts w:ascii="Helvetica Neue" w:hAnsi="Helvetica Neue"/>
          <w:i w:val="0"/>
          <w:iCs w:val="0"/>
          <w:sz w:val="22"/>
          <w:szCs w:val="22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</w:rPr>
        <w:t>en fr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>hzeitig informiert und ad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quat beteiligt werden? Wie kann das Stimmungsbild von Anwohnenden bei der geplanten Umsetzung eines entsprechenden Beschlusses der BVV fr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>hzeitig Eingang finden und ma</w:t>
      </w:r>
      <w:r>
        <w:rPr>
          <w:rFonts w:ascii="Helvetica Neue" w:hAnsi="Helvetica Neue"/>
          <w:i w:val="0"/>
          <w:iCs w:val="0"/>
          <w:sz w:val="22"/>
          <w:szCs w:val="22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</w:rPr>
        <w:t>geblich ber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cksichtig werden? </w:t>
      </w:r>
    </w:p>
    <w:p w14:paraId="19587136" w14:textId="77777777" w:rsidR="008A7473" w:rsidRDefault="008A7473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i w:val="0"/>
          <w:iCs w:val="0"/>
          <w:sz w:val="22"/>
          <w:szCs w:val="22"/>
        </w:rPr>
      </w:pPr>
    </w:p>
    <w:p w14:paraId="70FBE354" w14:textId="77777777" w:rsidR="008A7473" w:rsidRDefault="00AF2246">
      <w:pPr>
        <w:pStyle w:val="berschrift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" w:cs="Arial"/>
          <w:b/>
          <w:bCs/>
          <w:i w:val="0"/>
          <w:iCs w:val="0"/>
          <w:sz w:val="22"/>
          <w:szCs w:val="22"/>
        </w:rPr>
      </w:pPr>
      <w:r>
        <w:rPr>
          <w:rFonts w:ascii="Helvetica Neue" w:hAnsi="Helvetica Neue"/>
          <w:i w:val="0"/>
          <w:iCs w:val="0"/>
          <w:sz w:val="22"/>
          <w:szCs w:val="22"/>
        </w:rPr>
        <w:t>Ein h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ufiges Argument gegen St</w:t>
      </w:r>
      <w:r>
        <w:rPr>
          <w:rFonts w:ascii="Helvetica Neue" w:hAnsi="Helvetica Neue"/>
          <w:i w:val="0"/>
          <w:iCs w:val="0"/>
          <w:sz w:val="22"/>
          <w:szCs w:val="22"/>
        </w:rPr>
        <w:t>ra</w:t>
      </w:r>
      <w:r>
        <w:rPr>
          <w:rFonts w:ascii="Helvetica Neue" w:hAnsi="Helvetica Neue"/>
          <w:i w:val="0"/>
          <w:iCs w:val="0"/>
          <w:sz w:val="22"/>
          <w:szCs w:val="22"/>
        </w:rPr>
        <w:t>ß</w:t>
      </w:r>
      <w:r>
        <w:rPr>
          <w:rFonts w:ascii="Helvetica Neue" w:hAnsi="Helvetica Neue"/>
          <w:i w:val="0"/>
          <w:iCs w:val="0"/>
          <w:sz w:val="22"/>
          <w:szCs w:val="22"/>
        </w:rPr>
        <w:t>enumbenennung sind die entstehenden Kosten f</w:t>
      </w:r>
      <w:r>
        <w:rPr>
          <w:rFonts w:ascii="Helvetica Neue" w:hAnsi="Helvetica Neue"/>
          <w:i w:val="0"/>
          <w:iCs w:val="0"/>
          <w:sz w:val="22"/>
          <w:szCs w:val="22"/>
        </w:rPr>
        <w:t>ü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r die Anwohnenden. Das betrifft insbesondere amtliche Kosten (z.B. </w:t>
      </w:r>
      <w:r>
        <w:rPr>
          <w:rFonts w:ascii="Helvetica Neue" w:hAnsi="Helvetica Neue"/>
          <w:i w:val="0"/>
          <w:iCs w:val="0"/>
          <w:sz w:val="22"/>
          <w:szCs w:val="22"/>
        </w:rPr>
        <w:t>Ä</w:t>
      </w:r>
      <w:r>
        <w:rPr>
          <w:rFonts w:ascii="Helvetica Neue" w:hAnsi="Helvetica Neue"/>
          <w:i w:val="0"/>
          <w:iCs w:val="0"/>
          <w:sz w:val="22"/>
          <w:szCs w:val="22"/>
        </w:rPr>
        <w:t>nderungen im Personalausweis). Hier sollte gem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äß </w:t>
      </w:r>
      <w:r>
        <w:rPr>
          <w:rFonts w:ascii="Helvetica Neue" w:hAnsi="Helvetica Neue"/>
          <w:i w:val="0"/>
          <w:iCs w:val="0"/>
          <w:sz w:val="22"/>
          <w:szCs w:val="22"/>
        </w:rPr>
        <w:t xml:space="preserve">des Verursacherprinzips gelten, dass diese Kosten von der </w:t>
      </w:r>
      <w:r>
        <w:rPr>
          <w:rFonts w:ascii="Helvetica Neue" w:hAnsi="Helvetica Neue"/>
          <w:i w:val="0"/>
          <w:iCs w:val="0"/>
          <w:sz w:val="22"/>
          <w:szCs w:val="22"/>
        </w:rPr>
        <w:t>ö</w:t>
      </w:r>
      <w:r>
        <w:rPr>
          <w:rFonts w:ascii="Helvetica Neue" w:hAnsi="Helvetica Neue"/>
          <w:i w:val="0"/>
          <w:iCs w:val="0"/>
          <w:sz w:val="22"/>
          <w:szCs w:val="22"/>
        </w:rPr>
        <w:t>ffentlichen Hand getragen werden</w:t>
      </w:r>
      <w:r>
        <w:rPr>
          <w:rFonts w:ascii="Helvetica Neue" w:hAnsi="Helvetica Neue"/>
          <w:i w:val="0"/>
          <w:iCs w:val="0"/>
          <w:sz w:val="22"/>
          <w:szCs w:val="22"/>
        </w:rPr>
        <w:t>.</w:t>
      </w:r>
    </w:p>
    <w:p w14:paraId="0A4D0EFF" w14:textId="77777777" w:rsidR="008A7473" w:rsidRDefault="008A7473">
      <w:pPr>
        <w:spacing w:line="276" w:lineRule="auto"/>
        <w:jc w:val="both"/>
      </w:pPr>
    </w:p>
    <w:p w14:paraId="4944FB51" w14:textId="77777777" w:rsidR="008A7473" w:rsidRDefault="008A7473">
      <w:pPr>
        <w:spacing w:line="276" w:lineRule="auto"/>
        <w:jc w:val="both"/>
      </w:pPr>
    </w:p>
    <w:p w14:paraId="766A327B" w14:textId="77777777" w:rsidR="008A7473" w:rsidRDefault="008A7473">
      <w:pPr>
        <w:spacing w:line="276" w:lineRule="auto"/>
        <w:jc w:val="both"/>
      </w:pPr>
    </w:p>
    <w:p w14:paraId="631F93A4" w14:textId="77777777" w:rsidR="008A7473" w:rsidRDefault="008A7473">
      <w:pPr>
        <w:spacing w:line="276" w:lineRule="auto"/>
        <w:jc w:val="both"/>
      </w:pPr>
    </w:p>
    <w:p w14:paraId="4D6FD744" w14:textId="77777777" w:rsidR="008A7473" w:rsidRDefault="00AF2246">
      <w:pPr>
        <w:spacing w:line="276" w:lineRule="auto"/>
        <w:jc w:val="both"/>
      </w:pPr>
      <w:r>
        <w:t>Berlin, den 15.03.2020</w:t>
      </w:r>
    </w:p>
    <w:p w14:paraId="56A219A1" w14:textId="77777777" w:rsidR="008A7473" w:rsidRDefault="008A7473">
      <w:pPr>
        <w:spacing w:line="276" w:lineRule="auto"/>
        <w:jc w:val="both"/>
      </w:pPr>
    </w:p>
    <w:p w14:paraId="23BE0BBC" w14:textId="77777777" w:rsidR="008A7473" w:rsidRDefault="00AF2246">
      <w:pPr>
        <w:spacing w:line="276" w:lineRule="auto"/>
        <w:jc w:val="both"/>
      </w:pPr>
      <w:r>
        <w:t xml:space="preserve">Frau Wissel, Elisabeth </w:t>
      </w:r>
      <w:r>
        <w:tab/>
      </w:r>
      <w:r>
        <w:tab/>
      </w:r>
      <w:r>
        <w:tab/>
      </w:r>
      <w:r>
        <w:t xml:space="preserve">         Herr Rutsch, Martin </w:t>
      </w:r>
    </w:p>
    <w:p w14:paraId="4CD4E165" w14:textId="77777777" w:rsidR="008A7473" w:rsidRDefault="00AF2246">
      <w:pPr>
        <w:spacing w:line="276" w:lineRule="auto"/>
        <w:jc w:val="both"/>
      </w:pPr>
      <w:r>
        <w:t xml:space="preserve">                                                                              Frau Dr. Scherzinger, Christine</w:t>
      </w:r>
    </w:p>
    <w:p w14:paraId="1DD7BF14" w14:textId="77777777" w:rsidR="008A7473" w:rsidRDefault="008A7473">
      <w:pPr>
        <w:spacing w:line="276" w:lineRule="auto"/>
        <w:jc w:val="both"/>
      </w:pPr>
    </w:p>
    <w:p w14:paraId="78CA1E81" w14:textId="77777777" w:rsidR="008A7473" w:rsidRDefault="00AF2246">
      <w:pPr>
        <w:spacing w:line="276" w:lineRule="auto"/>
        <w:jc w:val="both"/>
      </w:pPr>
      <w:r>
        <w:t>Fraktion DIE LINKE</w:t>
      </w:r>
    </w:p>
    <w:sectPr w:rsidR="008A747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418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FE5F" w14:textId="77777777" w:rsidR="00AF2246" w:rsidRDefault="00AF2246">
      <w:r>
        <w:separator/>
      </w:r>
    </w:p>
  </w:endnote>
  <w:endnote w:type="continuationSeparator" w:id="0">
    <w:p w14:paraId="3236400F" w14:textId="77777777" w:rsidR="00AF2246" w:rsidRDefault="00A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A586" w14:textId="77777777" w:rsidR="008A7473" w:rsidRDefault="00AF2246">
    <w:pPr>
      <w:pStyle w:val="Fuzeile"/>
      <w:tabs>
        <w:tab w:val="clear" w:pos="9072"/>
        <w:tab w:val="right" w:pos="904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3F88E045" w14:textId="77777777" w:rsidR="008A7473" w:rsidRDefault="00AF2246">
    <w:pPr>
      <w:pStyle w:val="Fuzeile"/>
      <w:tabs>
        <w:tab w:val="clear" w:pos="9072"/>
        <w:tab w:val="right" w:pos="9044"/>
      </w:tabs>
    </w:pPr>
    <w:r>
      <w:rPr>
        <w:sz w:val="16"/>
        <w:szCs w:val="16"/>
      </w:rPr>
      <w:tab/>
    </w:r>
    <w:r>
      <w:rPr>
        <w:sz w:val="16"/>
        <w:szCs w:val="16"/>
      </w:rPr>
      <w:tab/>
      <w:t xml:space="preserve">Seite: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C281" w14:textId="77777777" w:rsidR="008A7473" w:rsidRDefault="00AF2246">
    <w:pPr>
      <w:pStyle w:val="Fuzeile"/>
      <w:rPr>
        <w:sz w:val="24"/>
        <w:szCs w:val="24"/>
      </w:rPr>
    </w:pPr>
    <w:r>
      <w:rPr>
        <w:sz w:val="24"/>
        <w:szCs w:val="24"/>
      </w:rPr>
      <w:t>Abstimmungsergebnis:</w:t>
    </w:r>
  </w:p>
  <w:p w14:paraId="3A57D848" w14:textId="77777777" w:rsidR="008A7473" w:rsidRDefault="008A7473">
    <w:pPr>
      <w:pStyle w:val="Fuzeile"/>
      <w:rPr>
        <w:sz w:val="16"/>
        <w:szCs w:val="16"/>
      </w:rPr>
    </w:pPr>
  </w:p>
  <w:p w14:paraId="57112117" w14:textId="77777777" w:rsidR="008A7473" w:rsidRDefault="00AF2246">
    <w:pPr>
      <w:pStyle w:val="Fuzeile"/>
    </w:pPr>
    <w:r>
      <w:t>beschlossen:</w:t>
    </w:r>
    <w:r>
      <w:tab/>
      <w:t>abgelehnt:</w:t>
    </w:r>
    <w:r>
      <w:tab/>
    </w:r>
    <w:r>
      <w:rPr>
        <w:sz w:val="24"/>
        <w:szCs w:val="24"/>
      </w:rPr>
      <w:t>ü</w:t>
    </w:r>
    <w:r>
      <w:rPr>
        <w:sz w:val="24"/>
        <w:szCs w:val="24"/>
      </w:rPr>
      <w:t>berwiesen: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75C9" w14:textId="77777777" w:rsidR="00AF2246" w:rsidRDefault="00AF2246">
      <w:r>
        <w:separator/>
      </w:r>
    </w:p>
  </w:footnote>
  <w:footnote w:type="continuationSeparator" w:id="0">
    <w:p w14:paraId="21450F4C" w14:textId="77777777" w:rsidR="00AF2246" w:rsidRDefault="00AF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4E34" w14:textId="77777777" w:rsidR="008A7473" w:rsidRDefault="008A7473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6034" w14:textId="77777777" w:rsidR="008A7473" w:rsidRDefault="008A7473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7F24"/>
    <w:multiLevelType w:val="hybridMultilevel"/>
    <w:tmpl w:val="CE32F04A"/>
    <w:numStyleLink w:val="Nummeriert"/>
  </w:abstractNum>
  <w:abstractNum w:abstractNumId="1" w15:restartNumberingAfterBreak="0">
    <w:nsid w:val="7EE72D88"/>
    <w:multiLevelType w:val="hybridMultilevel"/>
    <w:tmpl w:val="CE32F04A"/>
    <w:styleLink w:val="Nummeriert"/>
    <w:lvl w:ilvl="0" w:tplc="DACA3BC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C41A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E93D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6632C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4E3F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9E911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8831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CDB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C3A7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73"/>
    <w:rsid w:val="000A647C"/>
    <w:rsid w:val="008A7473"/>
    <w:rsid w:val="00A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7F9"/>
  <w15:docId w15:val="{FF89B726-CAB0-4737-BCF8-7C39CE8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2"/>
      <w:szCs w:val="22"/>
      <w:u w:color="000000"/>
    </w:rPr>
  </w:style>
  <w:style w:type="paragraph" w:styleId="berschrift1">
    <w:name w:val="heading 1"/>
    <w:next w:val="Standard"/>
    <w:uiPriority w:val="9"/>
    <w:qFormat/>
    <w:pPr>
      <w:keepNext/>
      <w:spacing w:before="12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jc w:val="center"/>
      <w:outlineLvl w:val="1"/>
    </w:pPr>
    <w:rPr>
      <w:rFonts w:ascii="Arial" w:hAnsi="Arial" w:cs="Arial Unicode MS"/>
      <w:i/>
      <w:iCs/>
      <w:color w:val="000000"/>
      <w:sz w:val="18"/>
      <w:szCs w:val="18"/>
      <w:u w:color="000000"/>
    </w:rPr>
  </w:style>
  <w:style w:type="paragraph" w:styleId="berschrift4">
    <w:name w:val="heading 4"/>
    <w:next w:val="Standard"/>
    <w:uiPriority w:val="9"/>
    <w:unhideWhenUsed/>
    <w:qFormat/>
    <w:pPr>
      <w:keepNext/>
      <w:spacing w:before="120" w:after="60"/>
      <w:jc w:val="center"/>
      <w:outlineLvl w:val="3"/>
    </w:pPr>
    <w:rPr>
      <w:rFonts w:ascii="Arial" w:hAnsi="Arial" w:cs="Arial Unicode MS"/>
      <w:i/>
      <w:iCs/>
      <w:color w:val="000000"/>
      <w:sz w:val="22"/>
      <w:szCs w:val="22"/>
      <w:u w:color="000000"/>
    </w:rPr>
  </w:style>
  <w:style w:type="paragraph" w:styleId="berschrift5">
    <w:name w:val="heading 5"/>
    <w:next w:val="Standard"/>
    <w:uiPriority w:val="9"/>
    <w:unhideWhenUsed/>
    <w:qFormat/>
    <w:pPr>
      <w:keepNext/>
      <w:tabs>
        <w:tab w:val="left" w:pos="1490"/>
      </w:tabs>
      <w:spacing w:before="120" w:after="60"/>
      <w:outlineLvl w:val="4"/>
    </w:pPr>
    <w:rPr>
      <w:rFonts w:ascii="Arial" w:hAnsi="Arial" w:cs="Arial Unicode MS"/>
      <w:i/>
      <w:iCs/>
      <w:color w:val="000000"/>
      <w:sz w:val="16"/>
      <w:szCs w:val="1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Borges</dc:creator>
  <cp:lastModifiedBy>Julie Borges</cp:lastModifiedBy>
  <cp:revision>2</cp:revision>
  <dcterms:created xsi:type="dcterms:W3CDTF">2021-03-24T11:15:00Z</dcterms:created>
  <dcterms:modified xsi:type="dcterms:W3CDTF">2021-03-24T11:15:00Z</dcterms:modified>
</cp:coreProperties>
</file>