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CE10" w14:textId="77777777" w:rsidR="00FF6173" w:rsidRDefault="00FF6173">
      <w:pPr>
        <w:pStyle w:val="Kopfzeile"/>
        <w:tabs>
          <w:tab w:val="clear" w:pos="4536"/>
          <w:tab w:val="clear" w:pos="9072"/>
        </w:tabs>
      </w:pPr>
    </w:p>
    <w:tbl>
      <w:tblPr>
        <w:tblStyle w:val="TableNormal"/>
        <w:tblW w:w="91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441"/>
        <w:gridCol w:w="1726"/>
      </w:tblGrid>
      <w:tr w:rsidR="00FF6173" w14:paraId="33396163" w14:textId="77777777">
        <w:tblPrEx>
          <w:tblCellMar>
            <w:top w:w="0" w:type="dxa"/>
            <w:left w:w="0" w:type="dxa"/>
            <w:bottom w:w="0" w:type="dxa"/>
            <w:right w:w="0" w:type="dxa"/>
          </w:tblCellMar>
        </w:tblPrEx>
        <w:trPr>
          <w:trHeight w:val="1918"/>
        </w:trPr>
        <w:tc>
          <w:tcPr>
            <w:tcW w:w="7441" w:type="dxa"/>
            <w:tcBorders>
              <w:top w:val="nil"/>
              <w:left w:val="nil"/>
              <w:bottom w:val="nil"/>
              <w:right w:val="nil"/>
            </w:tcBorders>
            <w:shd w:val="clear" w:color="auto" w:fill="auto"/>
            <w:tcMar>
              <w:top w:w="80" w:type="dxa"/>
              <w:left w:w="80" w:type="dxa"/>
              <w:bottom w:w="80" w:type="dxa"/>
              <w:right w:w="80" w:type="dxa"/>
            </w:tcMar>
          </w:tcPr>
          <w:p w14:paraId="193D22C4" w14:textId="77777777" w:rsidR="00FF6173" w:rsidRDefault="00E87634">
            <w:pPr>
              <w:pStyle w:val="Kopfzeile"/>
              <w:tabs>
                <w:tab w:val="clear" w:pos="4536"/>
                <w:tab w:val="clear" w:pos="9072"/>
              </w:tabs>
              <w:jc w:val="both"/>
              <w:rPr>
                <w:b/>
                <w:bCs/>
              </w:rPr>
            </w:pPr>
            <w:r>
              <w:rPr>
                <w:b/>
                <w:bCs/>
              </w:rPr>
              <w:t>Drucksachen</w:t>
            </w:r>
          </w:p>
          <w:p w14:paraId="596B82B5" w14:textId="77777777" w:rsidR="00FF6173" w:rsidRDefault="00E87634">
            <w:pPr>
              <w:pStyle w:val="Kopfzeile"/>
              <w:tabs>
                <w:tab w:val="clear" w:pos="4536"/>
                <w:tab w:val="clear" w:pos="9072"/>
              </w:tabs>
              <w:jc w:val="both"/>
              <w:rPr>
                <w:b/>
                <w:bCs/>
              </w:rPr>
            </w:pPr>
            <w:r>
              <w:rPr>
                <w:b/>
                <w:bCs/>
              </w:rPr>
              <w:t xml:space="preserve">der Bezirksverordnetenversammlung </w:t>
            </w:r>
          </w:p>
          <w:p w14:paraId="0C823ADD" w14:textId="77777777" w:rsidR="00FF6173" w:rsidRDefault="00E87634">
            <w:pPr>
              <w:pStyle w:val="Kopfzeile"/>
              <w:tabs>
                <w:tab w:val="clear" w:pos="4536"/>
                <w:tab w:val="clear" w:pos="9072"/>
              </w:tabs>
              <w:jc w:val="both"/>
              <w:rPr>
                <w:b/>
                <w:bCs/>
              </w:rPr>
            </w:pPr>
            <w:r>
              <w:rPr>
                <w:b/>
                <w:bCs/>
              </w:rPr>
              <w:t>Tempelhof-Schöneberg von Berlin</w:t>
            </w:r>
          </w:p>
          <w:p w14:paraId="7B18F358" w14:textId="77777777" w:rsidR="00FF6173" w:rsidRDefault="00E87634">
            <w:pPr>
              <w:pStyle w:val="Kopfzeile"/>
              <w:tabs>
                <w:tab w:val="clear" w:pos="4536"/>
                <w:tab w:val="clear" w:pos="9072"/>
              </w:tabs>
              <w:jc w:val="both"/>
            </w:pPr>
            <w:r>
              <w:rPr>
                <w:b/>
                <w:bCs/>
              </w:rPr>
              <w:t>XX. Wahlperiode</w:t>
            </w:r>
          </w:p>
        </w:tc>
        <w:tc>
          <w:tcPr>
            <w:tcW w:w="1726" w:type="dxa"/>
            <w:tcBorders>
              <w:top w:val="nil"/>
              <w:left w:val="nil"/>
              <w:bottom w:val="nil"/>
              <w:right w:val="nil"/>
            </w:tcBorders>
            <w:shd w:val="clear" w:color="auto" w:fill="auto"/>
            <w:tcMar>
              <w:top w:w="80" w:type="dxa"/>
              <w:left w:w="80" w:type="dxa"/>
              <w:bottom w:w="80" w:type="dxa"/>
              <w:right w:w="80" w:type="dxa"/>
            </w:tcMar>
          </w:tcPr>
          <w:p w14:paraId="073C669E" w14:textId="77777777" w:rsidR="00FF6173" w:rsidRDefault="00E87634">
            <w:pPr>
              <w:pStyle w:val="Kopfzeile"/>
              <w:tabs>
                <w:tab w:val="clear" w:pos="4536"/>
                <w:tab w:val="clear" w:pos="9072"/>
              </w:tabs>
              <w:jc w:val="right"/>
            </w:pPr>
            <w:r>
              <w:rPr>
                <w:noProof/>
                <w:sz w:val="16"/>
                <w:szCs w:val="16"/>
              </w:rPr>
              <w:drawing>
                <wp:inline distT="0" distB="0" distL="0" distR="0" wp14:anchorId="40DA7033" wp14:editId="170F26E0">
                  <wp:extent cx="838200" cy="1196340"/>
                  <wp:effectExtent l="0" t="0" r="0" b="0"/>
                  <wp:docPr id="1073741825" name="officeArt object" descr="030327 Wappen_neu_200x285"/>
                  <wp:cNvGraphicFramePr/>
                  <a:graphic xmlns:a="http://schemas.openxmlformats.org/drawingml/2006/main">
                    <a:graphicData uri="http://schemas.openxmlformats.org/drawingml/2006/picture">
                      <pic:pic xmlns:pic="http://schemas.openxmlformats.org/drawingml/2006/picture">
                        <pic:nvPicPr>
                          <pic:cNvPr id="1073741825" name="030327 Wappen_neu_200x285" descr="030327 Wappen_neu_200x285"/>
                          <pic:cNvPicPr>
                            <a:picLocks noChangeAspect="1"/>
                          </pic:cNvPicPr>
                        </pic:nvPicPr>
                        <pic:blipFill>
                          <a:blip r:embed="rId6"/>
                          <a:stretch>
                            <a:fillRect/>
                          </a:stretch>
                        </pic:blipFill>
                        <pic:spPr>
                          <a:xfrm>
                            <a:off x="0" y="0"/>
                            <a:ext cx="838200" cy="1196340"/>
                          </a:xfrm>
                          <a:prstGeom prst="rect">
                            <a:avLst/>
                          </a:prstGeom>
                          <a:ln w="12700" cap="flat">
                            <a:noFill/>
                            <a:miter lim="400000"/>
                          </a:ln>
                          <a:effectLst/>
                        </pic:spPr>
                      </pic:pic>
                    </a:graphicData>
                  </a:graphic>
                </wp:inline>
              </w:drawing>
            </w:r>
          </w:p>
        </w:tc>
      </w:tr>
    </w:tbl>
    <w:p w14:paraId="3B59F053" w14:textId="77777777" w:rsidR="00FF6173" w:rsidRDefault="00FF6173">
      <w:pPr>
        <w:pStyle w:val="Kopfzeile"/>
        <w:widowControl w:val="0"/>
        <w:tabs>
          <w:tab w:val="clear" w:pos="4536"/>
          <w:tab w:val="clear" w:pos="9072"/>
        </w:tabs>
      </w:pPr>
    </w:p>
    <w:p w14:paraId="0465866F" w14:textId="77777777" w:rsidR="00FF6173" w:rsidRDefault="00FF6173">
      <w:pPr>
        <w:pStyle w:val="Kopfzeile"/>
        <w:tabs>
          <w:tab w:val="clear" w:pos="4536"/>
          <w:tab w:val="clear" w:pos="9072"/>
        </w:tabs>
      </w:pPr>
    </w:p>
    <w:p w14:paraId="45E3017A" w14:textId="77777777" w:rsidR="00FF6173" w:rsidRDefault="00E87634">
      <w:pPr>
        <w:spacing w:line="276" w:lineRule="auto"/>
        <w:jc w:val="both"/>
      </w:pPr>
      <w:r>
        <w:rPr>
          <w:sz w:val="24"/>
          <w:szCs w:val="24"/>
        </w:rPr>
        <w:t xml:space="preserve">Ursprung: </w:t>
      </w:r>
      <w:r>
        <w:t xml:space="preserve">DIE LINKE </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88"/>
        <w:gridCol w:w="7724"/>
      </w:tblGrid>
      <w:tr w:rsidR="00FF6173" w14:paraId="4B4D0F38" w14:textId="77777777">
        <w:tblPrEx>
          <w:tblCellMar>
            <w:top w:w="0" w:type="dxa"/>
            <w:left w:w="0" w:type="dxa"/>
            <w:bottom w:w="0" w:type="dxa"/>
            <w:right w:w="0" w:type="dxa"/>
          </w:tblCellMar>
        </w:tblPrEx>
        <w:trPr>
          <w:trHeight w:val="240"/>
        </w:trPr>
        <w:tc>
          <w:tcPr>
            <w:tcW w:w="9212" w:type="dxa"/>
            <w:gridSpan w:val="2"/>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0BC8528" w14:textId="77777777" w:rsidR="00FF6173" w:rsidRDefault="00E87634">
            <w:pPr>
              <w:pStyle w:val="Kopfzeile"/>
              <w:tabs>
                <w:tab w:val="clear" w:pos="4536"/>
                <w:tab w:val="clear" w:pos="9072"/>
              </w:tabs>
            </w:pPr>
            <w:r>
              <w:t>Beratungsfolge:</w:t>
            </w:r>
          </w:p>
        </w:tc>
      </w:tr>
      <w:tr w:rsidR="00FF6173" w14:paraId="2544EBB1" w14:textId="77777777">
        <w:tblPrEx>
          <w:tblCellMar>
            <w:top w:w="0" w:type="dxa"/>
            <w:left w:w="0" w:type="dxa"/>
            <w:bottom w:w="0" w:type="dxa"/>
            <w:right w:w="0" w:type="dxa"/>
          </w:tblCellMar>
        </w:tblPrEx>
        <w:trPr>
          <w:trHeight w:val="233"/>
        </w:trPr>
        <w:tc>
          <w:tcPr>
            <w:tcW w:w="1488" w:type="dxa"/>
            <w:tcBorders>
              <w:top w:val="nil"/>
              <w:left w:val="single" w:sz="6" w:space="0" w:color="000000"/>
              <w:bottom w:val="nil"/>
              <w:right w:val="nil"/>
            </w:tcBorders>
            <w:shd w:val="clear" w:color="auto" w:fill="auto"/>
            <w:tcMar>
              <w:top w:w="80" w:type="dxa"/>
              <w:left w:w="80" w:type="dxa"/>
              <w:bottom w:w="80" w:type="dxa"/>
              <w:right w:w="80" w:type="dxa"/>
            </w:tcMar>
          </w:tcPr>
          <w:p w14:paraId="664DC051" w14:textId="77777777" w:rsidR="00FF6173" w:rsidRDefault="00E87634">
            <w:pPr>
              <w:pStyle w:val="berschrift4"/>
              <w:spacing w:before="0" w:after="0"/>
            </w:pPr>
            <w:r>
              <w:t>Datum</w:t>
            </w:r>
          </w:p>
        </w:tc>
        <w:tc>
          <w:tcPr>
            <w:tcW w:w="7724" w:type="dxa"/>
            <w:tcBorders>
              <w:top w:val="nil"/>
              <w:left w:val="nil"/>
              <w:bottom w:val="nil"/>
              <w:right w:val="single" w:sz="6" w:space="0" w:color="000000"/>
            </w:tcBorders>
            <w:shd w:val="clear" w:color="auto" w:fill="auto"/>
            <w:tcMar>
              <w:top w:w="80" w:type="dxa"/>
              <w:left w:w="80" w:type="dxa"/>
              <w:bottom w:w="80" w:type="dxa"/>
              <w:right w:w="80" w:type="dxa"/>
            </w:tcMar>
          </w:tcPr>
          <w:p w14:paraId="4FD7CF9F" w14:textId="77777777" w:rsidR="00FF6173" w:rsidRDefault="00E87634">
            <w:pPr>
              <w:pStyle w:val="berschrift5"/>
              <w:spacing w:before="0" w:after="0"/>
            </w:pPr>
            <w:r>
              <w:rPr>
                <w:sz w:val="20"/>
                <w:szCs w:val="20"/>
              </w:rPr>
              <w:t>Gremium</w:t>
            </w:r>
          </w:p>
        </w:tc>
      </w:tr>
      <w:tr w:rsidR="00FF6173" w14:paraId="4855CF9B" w14:textId="77777777">
        <w:tblPrEx>
          <w:tblCellMar>
            <w:top w:w="0" w:type="dxa"/>
            <w:left w:w="0" w:type="dxa"/>
            <w:bottom w:w="0" w:type="dxa"/>
            <w:right w:w="0" w:type="dxa"/>
          </w:tblCellMar>
        </w:tblPrEx>
        <w:trPr>
          <w:trHeight w:val="233"/>
        </w:trPr>
        <w:tc>
          <w:tcPr>
            <w:tcW w:w="9212" w:type="dxa"/>
            <w:gridSpan w:val="2"/>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012B27A" w14:textId="77777777" w:rsidR="00FF6173" w:rsidRDefault="00E87634">
            <w:pPr>
              <w:tabs>
                <w:tab w:val="left" w:pos="1418"/>
                <w:tab w:val="left" w:pos="2268"/>
              </w:tabs>
            </w:pPr>
            <w:r>
              <w:t>Wird von Allris automatisch ausgefüllt.</w:t>
            </w:r>
          </w:p>
        </w:tc>
      </w:tr>
      <w:tr w:rsidR="00FF6173" w14:paraId="692A2509" w14:textId="77777777">
        <w:tblPrEx>
          <w:tblCellMar>
            <w:top w:w="0" w:type="dxa"/>
            <w:left w:w="0" w:type="dxa"/>
            <w:bottom w:w="0" w:type="dxa"/>
            <w:right w:w="0" w:type="dxa"/>
          </w:tblCellMar>
        </w:tblPrEx>
        <w:trPr>
          <w:trHeight w:val="240"/>
        </w:trPr>
        <w:tc>
          <w:tcPr>
            <w:tcW w:w="9212" w:type="dxa"/>
            <w:gridSpan w:val="2"/>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0A4C9F" w14:textId="77777777" w:rsidR="00FF6173" w:rsidRDefault="00FF6173"/>
        </w:tc>
      </w:tr>
    </w:tbl>
    <w:p w14:paraId="10DBA9BB" w14:textId="77777777" w:rsidR="00FF6173" w:rsidRDefault="00FF6173">
      <w:pPr>
        <w:widowControl w:val="0"/>
        <w:jc w:val="both"/>
      </w:pPr>
    </w:p>
    <w:p w14:paraId="560B2E25" w14:textId="77777777" w:rsidR="00FF6173" w:rsidRDefault="00FF6173">
      <w:pPr>
        <w:pStyle w:val="Kopfzeile"/>
        <w:tabs>
          <w:tab w:val="clear" w:pos="4536"/>
          <w:tab w:val="clear" w:pos="9072"/>
        </w:tabs>
      </w:pPr>
    </w:p>
    <w:p w14:paraId="05F618A9" w14:textId="77777777" w:rsidR="00FF6173" w:rsidRDefault="00FF6173">
      <w:pPr>
        <w:pStyle w:val="Kopfzeile"/>
        <w:tabs>
          <w:tab w:val="clear" w:pos="4536"/>
          <w:tab w:val="clear" w:pos="9072"/>
        </w:tabs>
      </w:pP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787"/>
        <w:gridCol w:w="1673"/>
        <w:gridCol w:w="1604"/>
      </w:tblGrid>
      <w:tr w:rsidR="00FF6173" w14:paraId="0B30F0F0" w14:textId="77777777">
        <w:tblPrEx>
          <w:tblCellMar>
            <w:top w:w="0" w:type="dxa"/>
            <w:left w:w="0" w:type="dxa"/>
            <w:bottom w:w="0" w:type="dxa"/>
            <w:right w:w="0" w:type="dxa"/>
          </w:tblCellMar>
        </w:tblPrEx>
        <w:trPr>
          <w:trHeight w:val="971"/>
        </w:trPr>
        <w:tc>
          <w:tcPr>
            <w:tcW w:w="5787" w:type="dxa"/>
            <w:tcBorders>
              <w:top w:val="nil"/>
              <w:left w:val="nil"/>
              <w:bottom w:val="nil"/>
              <w:right w:val="nil"/>
            </w:tcBorders>
            <w:shd w:val="clear" w:color="auto" w:fill="auto"/>
            <w:tcMar>
              <w:top w:w="80" w:type="dxa"/>
              <w:left w:w="80" w:type="dxa"/>
              <w:bottom w:w="80" w:type="dxa"/>
              <w:right w:w="80" w:type="dxa"/>
            </w:tcMar>
          </w:tcPr>
          <w:p w14:paraId="4D1CCF5B" w14:textId="77777777" w:rsidR="00FF6173" w:rsidRDefault="00E87634">
            <w:pPr>
              <w:pStyle w:val="berschrift1"/>
            </w:pPr>
            <w:r>
              <w:fldChar w:fldCharType="begin"/>
            </w:r>
            <w:r>
              <w:instrText xml:space="preserve"> MERGEFIELD VOVANR </w:instrText>
            </w:r>
            <w:r>
              <w:fldChar w:fldCharType="separate"/>
            </w:r>
            <w:r>
              <w:t>Antrag</w:t>
            </w:r>
            <w:r>
              <w:fldChar w:fldCharType="end"/>
            </w:r>
          </w:p>
          <w:p w14:paraId="654BA63B" w14:textId="77777777" w:rsidR="00FF6173" w:rsidRDefault="00E87634">
            <w:r>
              <w:t xml:space="preserve">Wird von Allris </w:t>
            </w:r>
            <w:r>
              <w:t>automatisch ausgefüllt.</w:t>
            </w:r>
          </w:p>
        </w:tc>
        <w:tc>
          <w:tcPr>
            <w:tcW w:w="1673" w:type="dxa"/>
            <w:tcBorders>
              <w:top w:val="nil"/>
              <w:left w:val="nil"/>
              <w:bottom w:val="nil"/>
              <w:right w:val="nil"/>
            </w:tcBorders>
            <w:shd w:val="clear" w:color="auto" w:fill="auto"/>
            <w:tcMar>
              <w:top w:w="80" w:type="dxa"/>
              <w:left w:w="80" w:type="dxa"/>
              <w:bottom w:w="80" w:type="dxa"/>
              <w:right w:w="80" w:type="dxa"/>
            </w:tcMar>
          </w:tcPr>
          <w:p w14:paraId="22350CE9" w14:textId="77777777" w:rsidR="00FF6173" w:rsidRDefault="00E87634">
            <w:pPr>
              <w:tabs>
                <w:tab w:val="left" w:pos="1490"/>
              </w:tabs>
              <w:spacing w:before="120"/>
            </w:pPr>
            <w:r>
              <w:rPr>
                <w:b/>
                <w:bCs/>
                <w:sz w:val="28"/>
                <w:szCs w:val="28"/>
              </w:rPr>
              <w:t>Drucks. Nr:</w:t>
            </w:r>
          </w:p>
        </w:tc>
        <w:tc>
          <w:tcPr>
            <w:tcW w:w="1602" w:type="dxa"/>
            <w:tcBorders>
              <w:top w:val="nil"/>
              <w:left w:val="nil"/>
              <w:bottom w:val="nil"/>
              <w:right w:val="nil"/>
            </w:tcBorders>
            <w:shd w:val="clear" w:color="auto" w:fill="auto"/>
            <w:tcMar>
              <w:top w:w="80" w:type="dxa"/>
              <w:left w:w="80" w:type="dxa"/>
              <w:bottom w:w="80" w:type="dxa"/>
              <w:right w:w="80" w:type="dxa"/>
            </w:tcMar>
          </w:tcPr>
          <w:p w14:paraId="683D1A90" w14:textId="77777777" w:rsidR="00FF6173" w:rsidRDefault="00E87634">
            <w:pPr>
              <w:tabs>
                <w:tab w:val="left" w:pos="1490"/>
              </w:tabs>
              <w:spacing w:before="120" w:after="120"/>
              <w:jc w:val="right"/>
            </w:pPr>
            <w:r>
              <w:t>automatisch erstellt.</w:t>
            </w:r>
            <w:r>
              <w:rPr>
                <w:b/>
                <w:bCs/>
                <w:sz w:val="28"/>
                <w:szCs w:val="28"/>
              </w:rPr>
              <w:fldChar w:fldCharType="begin"/>
            </w:r>
            <w:r>
              <w:rPr>
                <w:b/>
                <w:bCs/>
                <w:sz w:val="28"/>
                <w:szCs w:val="28"/>
              </w:rPr>
              <w:instrText xml:space="preserve"> MERGEFIELD VONAME </w:instrText>
            </w:r>
            <w:r>
              <w:rPr>
                <w:b/>
                <w:bCs/>
                <w:sz w:val="28"/>
                <w:szCs w:val="28"/>
              </w:rPr>
              <w:fldChar w:fldCharType="separate"/>
            </w:r>
            <w:r>
              <w:rPr>
                <w:b/>
                <w:bCs/>
                <w:sz w:val="28"/>
                <w:szCs w:val="28"/>
              </w:rPr>
              <w:t>/XIX</w:t>
            </w:r>
            <w:r>
              <w:rPr>
                <w:b/>
                <w:bCs/>
                <w:sz w:val="28"/>
                <w:szCs w:val="28"/>
              </w:rPr>
              <w:fldChar w:fldCharType="end"/>
            </w:r>
            <w:r>
              <w:rPr>
                <w:rFonts w:ascii="Arial Unicode MS" w:hAnsi="Arial Unicode MS"/>
                <w:sz w:val="28"/>
                <w:szCs w:val="28"/>
              </w:rPr>
              <w:br/>
            </w:r>
          </w:p>
        </w:tc>
      </w:tr>
      <w:tr w:rsidR="00FF6173" w14:paraId="3266FE01" w14:textId="77777777">
        <w:tblPrEx>
          <w:tblCellMar>
            <w:top w:w="0" w:type="dxa"/>
            <w:left w:w="0" w:type="dxa"/>
            <w:bottom w:w="0" w:type="dxa"/>
            <w:right w:w="0" w:type="dxa"/>
          </w:tblCellMar>
        </w:tblPrEx>
        <w:trPr>
          <w:trHeight w:val="755"/>
        </w:trPr>
        <w:tc>
          <w:tcPr>
            <w:tcW w:w="9064" w:type="dxa"/>
            <w:gridSpan w:val="3"/>
            <w:tcBorders>
              <w:top w:val="nil"/>
              <w:left w:val="nil"/>
              <w:bottom w:val="nil"/>
              <w:right w:val="nil"/>
            </w:tcBorders>
            <w:shd w:val="clear" w:color="auto" w:fill="auto"/>
            <w:tcMar>
              <w:top w:w="80" w:type="dxa"/>
              <w:left w:w="80" w:type="dxa"/>
              <w:bottom w:w="80" w:type="dxa"/>
              <w:right w:w="80" w:type="dxa"/>
            </w:tcMar>
          </w:tcPr>
          <w:p w14:paraId="6F97ECDE" w14:textId="77777777" w:rsidR="00FF6173" w:rsidRDefault="00E87634">
            <w:r>
              <w:rPr>
                <w:rFonts w:ascii="Arial Unicode MS" w:hAnsi="Arial Unicode MS"/>
                <w:sz w:val="24"/>
                <w:szCs w:val="24"/>
              </w:rPr>
              <w:br/>
            </w:r>
            <w:r>
              <w:rPr>
                <w:b/>
                <w:bCs/>
                <w:kern w:val="3"/>
                <w:sz w:val="24"/>
                <w:szCs w:val="24"/>
              </w:rPr>
              <w:t>Moratorium zur Verlagerung des Wenckebach-Klinikums</w:t>
            </w:r>
          </w:p>
        </w:tc>
      </w:tr>
    </w:tbl>
    <w:p w14:paraId="342B41DC" w14:textId="77777777" w:rsidR="00FF6173" w:rsidRDefault="00FF6173">
      <w:pPr>
        <w:pStyle w:val="Kopfzeile"/>
        <w:widowControl w:val="0"/>
        <w:tabs>
          <w:tab w:val="clear" w:pos="4536"/>
          <w:tab w:val="clear" w:pos="9072"/>
        </w:tabs>
      </w:pPr>
    </w:p>
    <w:p w14:paraId="7A8A520F" w14:textId="77777777" w:rsidR="00FF6173" w:rsidRDefault="00FF6173">
      <w:pPr>
        <w:pStyle w:val="Kopfzeile"/>
        <w:tabs>
          <w:tab w:val="clear" w:pos="4536"/>
          <w:tab w:val="clear" w:pos="9072"/>
        </w:tabs>
      </w:pPr>
    </w:p>
    <w:p w14:paraId="277B120C" w14:textId="77777777" w:rsidR="00FF6173" w:rsidRDefault="00FF6173">
      <w:bookmarkStart w:id="0" w:name="Beschlußvorschlag"/>
      <w:bookmarkEnd w:id="0"/>
    </w:p>
    <w:p w14:paraId="37700EEE" w14:textId="77777777" w:rsidR="00FF6173" w:rsidRDefault="00E87634">
      <w:pPr>
        <w:pStyle w:val="Kopfzeile"/>
        <w:tabs>
          <w:tab w:val="clear" w:pos="9072"/>
          <w:tab w:val="right" w:pos="9044"/>
        </w:tabs>
        <w:jc w:val="both"/>
      </w:pPr>
      <w:r>
        <w:t>Die Bezirksverordnetenversammlung möge beschließen:</w:t>
      </w:r>
    </w:p>
    <w:p w14:paraId="60F99F9E" w14:textId="77777777" w:rsidR="00FF6173" w:rsidRDefault="00FF6173">
      <w:pPr>
        <w:pStyle w:val="Kopfzeile"/>
        <w:tabs>
          <w:tab w:val="clear" w:pos="9072"/>
          <w:tab w:val="right" w:pos="9044"/>
        </w:tabs>
        <w:jc w:val="both"/>
      </w:pPr>
    </w:p>
    <w:p w14:paraId="636D6476" w14:textId="77777777" w:rsidR="00FF6173" w:rsidRDefault="00E87634">
      <w:pPr>
        <w:pStyle w:val="berschrif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eastAsia="Helvetica Neue" w:hAnsi="Helvetica Neue" w:cs="Helvetica Neue"/>
          <w:i w:val="0"/>
          <w:iCs w:val="0"/>
          <w:sz w:val="22"/>
          <w:szCs w:val="22"/>
        </w:rPr>
      </w:pPr>
      <w:r>
        <w:rPr>
          <w:rFonts w:ascii="Helvetica Neue" w:hAnsi="Helvetica Neue"/>
          <w:i w:val="0"/>
          <w:iCs w:val="0"/>
          <w:sz w:val="22"/>
          <w:szCs w:val="22"/>
        </w:rPr>
        <w:t>Die BVV m</w:t>
      </w:r>
      <w:r>
        <w:rPr>
          <w:rFonts w:ascii="Helvetica Neue" w:hAnsi="Helvetica Neue"/>
          <w:i w:val="0"/>
          <w:iCs w:val="0"/>
          <w:sz w:val="22"/>
          <w:szCs w:val="22"/>
        </w:rPr>
        <w:t>ö</w:t>
      </w:r>
      <w:r>
        <w:rPr>
          <w:rFonts w:ascii="Helvetica Neue" w:hAnsi="Helvetica Neue"/>
          <w:i w:val="0"/>
          <w:iCs w:val="0"/>
          <w:sz w:val="22"/>
          <w:szCs w:val="22"/>
        </w:rPr>
        <w:t>ge beschlie</w:t>
      </w:r>
      <w:r>
        <w:rPr>
          <w:rFonts w:ascii="Helvetica Neue" w:hAnsi="Helvetica Neue"/>
          <w:i w:val="0"/>
          <w:iCs w:val="0"/>
          <w:sz w:val="22"/>
          <w:szCs w:val="22"/>
        </w:rPr>
        <w:t>ß</w:t>
      </w:r>
      <w:r>
        <w:rPr>
          <w:rFonts w:ascii="Helvetica Neue" w:hAnsi="Helvetica Neue"/>
          <w:i w:val="0"/>
          <w:iCs w:val="0"/>
          <w:sz w:val="22"/>
          <w:szCs w:val="22"/>
        </w:rPr>
        <w:t xml:space="preserve">en: </w:t>
      </w:r>
    </w:p>
    <w:p w14:paraId="76B3EA91" w14:textId="77777777" w:rsidR="00FF6173" w:rsidRDefault="00FF6173">
      <w:pPr>
        <w:pStyle w:val="berschrif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Neue" w:eastAsia="Helvetica Neue" w:hAnsi="Helvetica Neue" w:cs="Helvetica Neue"/>
          <w:i w:val="0"/>
          <w:iCs w:val="0"/>
          <w:sz w:val="22"/>
          <w:szCs w:val="22"/>
        </w:rPr>
      </w:pPr>
    </w:p>
    <w:p w14:paraId="6F3AA57F" w14:textId="77777777" w:rsidR="00FF6173" w:rsidRDefault="00E8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kern w:val="3"/>
        </w:rPr>
      </w:pPr>
      <w:r>
        <w:rPr>
          <w:kern w:val="3"/>
        </w:rPr>
        <w:t xml:space="preserve">Die BVV ersucht das </w:t>
      </w:r>
      <w:r>
        <w:rPr>
          <w:kern w:val="3"/>
        </w:rPr>
        <w:t>Bezirksamt bei den zuständigen Stellen des Senats und bei Vivantes den schon begonnenen Umzug von Stationen und Bereichen ins Auguste-Viktoria-Klinikum sofort zu stoppen, da die dafür nötigen Strukturen zur sicheren Patient:innen-Versorgung sowie die finan</w:t>
      </w:r>
      <w:r>
        <w:rPr>
          <w:kern w:val="3"/>
        </w:rPr>
        <w:t>zielle Unterstützung von Senatsseite nicht gesichert sind.</w:t>
      </w:r>
    </w:p>
    <w:p w14:paraId="37EBFDD6" w14:textId="77777777" w:rsidR="00FF6173" w:rsidRDefault="00FF61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kern w:val="3"/>
        </w:rPr>
      </w:pPr>
    </w:p>
    <w:p w14:paraId="7375C897" w14:textId="77777777" w:rsidR="00FF6173" w:rsidRDefault="00FF61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kern w:val="3"/>
        </w:rPr>
      </w:pPr>
    </w:p>
    <w:p w14:paraId="089D3E7F" w14:textId="77777777" w:rsidR="00FF6173" w:rsidRDefault="00E8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kern w:val="3"/>
        </w:rPr>
      </w:pPr>
      <w:r>
        <w:rPr>
          <w:kern w:val="3"/>
        </w:rPr>
        <w:t>Begründung:</w:t>
      </w:r>
    </w:p>
    <w:p w14:paraId="13734882" w14:textId="77777777" w:rsidR="00FF6173" w:rsidRDefault="00FF61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kern w:val="3"/>
        </w:rPr>
      </w:pPr>
    </w:p>
    <w:p w14:paraId="48B169CF" w14:textId="77777777" w:rsidR="00FF6173" w:rsidRDefault="00E8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kern w:val="3"/>
        </w:rPr>
      </w:pPr>
      <w:r>
        <w:rPr>
          <w:kern w:val="3"/>
        </w:rPr>
        <w:t>Die Stationen und Bereiche im Wenckebach-Klinikum sind miteinander verzahnt und voneinander abhängig. Teilverlagerungen zerstören die Klinik als Ganzes und zwar weit vor dem anvisier</w:t>
      </w:r>
      <w:r>
        <w:rPr>
          <w:kern w:val="3"/>
        </w:rPr>
        <w:t>ten Schließungstermin 2028. Die von Vivantes geplante Schließung des WBK wird sowohl politisch als auch finanziell bis jetzt von keinem politischen Gremium in Berlin befürwortet, trotzdem versucht Vivantes auf die Schnelle und in der Corona-Krise Tatsachen</w:t>
      </w:r>
      <w:r>
        <w:rPr>
          <w:kern w:val="3"/>
        </w:rPr>
        <w:t xml:space="preserve"> zu schaffen. </w:t>
      </w:r>
    </w:p>
    <w:p w14:paraId="59350815" w14:textId="77777777" w:rsidR="00FF6173" w:rsidRDefault="00FF61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kern w:val="3"/>
        </w:rPr>
      </w:pPr>
    </w:p>
    <w:p w14:paraId="6283FE52" w14:textId="77777777" w:rsidR="00FF6173" w:rsidRDefault="00E8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kern w:val="3"/>
        </w:rPr>
      </w:pPr>
      <w:r>
        <w:rPr>
          <w:kern w:val="3"/>
        </w:rPr>
        <w:t>Es wurde auch eine Petition an den Vivantes-Aufsichtsrat mit über 4.600 Unterschriften eingereicht, auf die es noch keine Antwort gibt. Rettungsstelle, Intensivstation und weitere Stationen / Abteilungen stehen vor dem Umzug ins AVK, ohne d</w:t>
      </w:r>
      <w:r>
        <w:rPr>
          <w:kern w:val="3"/>
        </w:rPr>
        <w:t xml:space="preserve">ass dort ausreichend Räumlichkeiten und Personal für eine sichere und adäquate Patient:innenversorgung vorhanden sind. </w:t>
      </w:r>
    </w:p>
    <w:p w14:paraId="7CC070D1" w14:textId="77777777" w:rsidR="00FF6173" w:rsidRDefault="00FF61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kern w:val="3"/>
        </w:rPr>
      </w:pPr>
    </w:p>
    <w:p w14:paraId="7DB50ABE" w14:textId="77777777" w:rsidR="00FF6173" w:rsidRDefault="00E8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kern w:val="3"/>
        </w:rPr>
        <w:lastRenderedPageBreak/>
        <w:t>Aufgrund der Situation haben und werden viele Pflegekräfte das Klinikum verlassen. Die Rettungsstelle des AVK ist jetzt schon immer übe</w:t>
      </w:r>
      <w:r>
        <w:rPr>
          <w:kern w:val="3"/>
        </w:rPr>
        <w:t>rfüllt. Lange Wartezeiten für Patient:innen in Not- und Aufnahmesituationen sind die Folge. Nicht nur die Anwohnenden und viele, die mit ihrer Unterschrift für den Erhalt des WBK gezeichnet haben, auch viele Arzt- und Physiotherapie-Praxen wollen das Wenck</w:t>
      </w:r>
      <w:r>
        <w:rPr>
          <w:kern w:val="3"/>
        </w:rPr>
        <w:t>ebach-Klinikum am Standort erhalten. Anbau- und Neubau können auch dort auf dem Gelände durchgeführt werden, statt An- und Neubau im AVK und der Absicht eine Großklinik mit Spezialabteilungen zu errichten. Die Peu-á-peu- Schließung muss sofort gestoppt wer</w:t>
      </w:r>
      <w:r>
        <w:rPr>
          <w:kern w:val="3"/>
        </w:rPr>
        <w:t>den und mit den Verantwortlichen muss über die Erforderlichkeit des WBK gesprochen werden.</w:t>
      </w:r>
    </w:p>
    <w:p w14:paraId="256A0EF1" w14:textId="77777777" w:rsidR="00FF6173" w:rsidRDefault="00FF617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14:paraId="70CBE706" w14:textId="77777777" w:rsidR="00FF6173" w:rsidRDefault="00FF617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14:paraId="596AC937" w14:textId="77777777" w:rsidR="00FF6173" w:rsidRDefault="00FF6173">
      <w:pPr>
        <w:spacing w:line="276" w:lineRule="auto"/>
        <w:jc w:val="both"/>
      </w:pPr>
    </w:p>
    <w:p w14:paraId="70B61C84" w14:textId="77777777" w:rsidR="00FF6173" w:rsidRDefault="00E87634">
      <w:pPr>
        <w:spacing w:line="276" w:lineRule="auto"/>
        <w:jc w:val="both"/>
      </w:pPr>
      <w:r>
        <w:t>Berlin, den 15.03.2020</w:t>
      </w:r>
    </w:p>
    <w:p w14:paraId="1570F67B" w14:textId="77777777" w:rsidR="00FF6173" w:rsidRDefault="00FF6173">
      <w:pPr>
        <w:spacing w:line="276" w:lineRule="auto"/>
        <w:jc w:val="both"/>
      </w:pPr>
    </w:p>
    <w:p w14:paraId="29AC9058" w14:textId="77777777" w:rsidR="00FF6173" w:rsidRDefault="00E87634">
      <w:pPr>
        <w:spacing w:line="276" w:lineRule="auto"/>
        <w:jc w:val="both"/>
      </w:pPr>
      <w:r>
        <w:t xml:space="preserve">Frau Wissel, Elisabeth </w:t>
      </w:r>
      <w:r>
        <w:tab/>
      </w:r>
      <w:r>
        <w:tab/>
      </w:r>
      <w:r>
        <w:tab/>
      </w:r>
      <w:r>
        <w:t xml:space="preserve">        </w:t>
      </w:r>
    </w:p>
    <w:p w14:paraId="5C2A5AA1" w14:textId="77777777" w:rsidR="00FF6173" w:rsidRDefault="00FF6173">
      <w:pPr>
        <w:spacing w:line="276" w:lineRule="auto"/>
        <w:jc w:val="both"/>
      </w:pPr>
    </w:p>
    <w:p w14:paraId="5FE3CA72" w14:textId="77777777" w:rsidR="00FF6173" w:rsidRDefault="00E87634">
      <w:pPr>
        <w:spacing w:line="276" w:lineRule="auto"/>
        <w:jc w:val="both"/>
      </w:pPr>
      <w:r>
        <w:t>Fraktion DIE LINKE</w:t>
      </w:r>
    </w:p>
    <w:sectPr w:rsidR="00FF6173">
      <w:headerReference w:type="default" r:id="rId7"/>
      <w:footerReference w:type="default" r:id="rId8"/>
      <w:headerReference w:type="first" r:id="rId9"/>
      <w:footerReference w:type="first" r:id="rId10"/>
      <w:pgSz w:w="11900" w:h="16840"/>
      <w:pgMar w:top="851" w:right="1418" w:bottom="1134" w:left="1418"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A7D1D" w14:textId="77777777" w:rsidR="00E87634" w:rsidRDefault="00E87634">
      <w:r>
        <w:separator/>
      </w:r>
    </w:p>
  </w:endnote>
  <w:endnote w:type="continuationSeparator" w:id="0">
    <w:p w14:paraId="234F2C6A" w14:textId="77777777" w:rsidR="00E87634" w:rsidRDefault="00E8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3526" w14:textId="77777777" w:rsidR="00FF6173" w:rsidRDefault="00E87634">
    <w:pPr>
      <w:pStyle w:val="Fuzeile"/>
      <w:tabs>
        <w:tab w:val="clear" w:pos="9072"/>
        <w:tab w:val="right" w:pos="9044"/>
      </w:tabs>
      <w:rPr>
        <w:sz w:val="16"/>
        <w:szCs w:val="16"/>
      </w:rPr>
    </w:pPr>
    <w:r>
      <w:rPr>
        <w:sz w:val="16"/>
        <w:szCs w:val="16"/>
      </w:rPr>
      <w:tab/>
    </w:r>
    <w:r>
      <w:rPr>
        <w:sz w:val="16"/>
        <w:szCs w:val="16"/>
      </w:rPr>
      <w:tab/>
    </w:r>
  </w:p>
  <w:p w14:paraId="2DDEE239" w14:textId="77777777" w:rsidR="00FF6173" w:rsidRDefault="00E87634">
    <w:pPr>
      <w:pStyle w:val="Fuzeile"/>
      <w:tabs>
        <w:tab w:val="clear" w:pos="9072"/>
        <w:tab w:val="right" w:pos="9044"/>
      </w:tabs>
    </w:pPr>
    <w:r>
      <w:rPr>
        <w:sz w:val="16"/>
        <w:szCs w:val="16"/>
      </w:rPr>
      <w:tab/>
    </w:r>
    <w:r>
      <w:rPr>
        <w:sz w:val="16"/>
        <w:szCs w:val="16"/>
      </w:rPr>
      <w:tab/>
      <w:t xml:space="preserve">Seite: </w:t>
    </w:r>
    <w:r>
      <w:rPr>
        <w:sz w:val="16"/>
        <w:szCs w:val="16"/>
      </w:rPr>
      <w:fldChar w:fldCharType="begin"/>
    </w:r>
    <w:r>
      <w:rPr>
        <w:sz w:val="16"/>
        <w:szCs w:val="16"/>
      </w:rPr>
      <w:instrText xml:space="preserve"> NUMPAGES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5EE2" w14:textId="77777777" w:rsidR="00FF6173" w:rsidRDefault="00E87634">
    <w:pPr>
      <w:pStyle w:val="Fuzeile"/>
      <w:rPr>
        <w:sz w:val="24"/>
        <w:szCs w:val="24"/>
      </w:rPr>
    </w:pPr>
    <w:r>
      <w:rPr>
        <w:sz w:val="24"/>
        <w:szCs w:val="24"/>
      </w:rPr>
      <w:t>Abstimmungsergebnis:</w:t>
    </w:r>
  </w:p>
  <w:p w14:paraId="69BAB22E" w14:textId="77777777" w:rsidR="00FF6173" w:rsidRDefault="00FF6173">
    <w:pPr>
      <w:pStyle w:val="Fuzeile"/>
      <w:rPr>
        <w:sz w:val="16"/>
        <w:szCs w:val="16"/>
      </w:rPr>
    </w:pPr>
  </w:p>
  <w:p w14:paraId="3A5283C0" w14:textId="77777777" w:rsidR="00FF6173" w:rsidRDefault="00E87634">
    <w:pPr>
      <w:pStyle w:val="Fuzeile"/>
    </w:pPr>
    <w:r>
      <w:t>beschlossen:</w:t>
    </w:r>
    <w:r>
      <w:tab/>
      <w:t>abgelehnt:</w:t>
    </w:r>
    <w:r>
      <w:tab/>
    </w:r>
    <w:r>
      <w:rPr>
        <w:sz w:val="24"/>
        <w:szCs w:val="24"/>
      </w:rPr>
      <w:t>überwiesen: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4A4E5" w14:textId="77777777" w:rsidR="00E87634" w:rsidRDefault="00E87634">
      <w:r>
        <w:separator/>
      </w:r>
    </w:p>
  </w:footnote>
  <w:footnote w:type="continuationSeparator" w:id="0">
    <w:p w14:paraId="02BA2CAF" w14:textId="77777777" w:rsidR="00E87634" w:rsidRDefault="00E8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4F3B" w14:textId="77777777" w:rsidR="00FF6173" w:rsidRDefault="00FF6173">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0BCE" w14:textId="77777777" w:rsidR="00FF6173" w:rsidRDefault="00FF617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73"/>
    <w:rsid w:val="00CE0B2F"/>
    <w:rsid w:val="00E87634"/>
    <w:rsid w:val="00FF6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C7C1"/>
  <w15:docId w15:val="{94B0B685-AA39-4091-A57A-CEDB0035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Unicode MS"/>
      <w:color w:val="000000"/>
      <w:sz w:val="22"/>
      <w:szCs w:val="22"/>
      <w:u w:color="000000"/>
    </w:rPr>
  </w:style>
  <w:style w:type="paragraph" w:styleId="berschrift1">
    <w:name w:val="heading 1"/>
    <w:next w:val="Standard"/>
    <w:uiPriority w:val="9"/>
    <w:qFormat/>
    <w:pPr>
      <w:keepNext/>
      <w:spacing w:before="120"/>
      <w:outlineLvl w:val="0"/>
    </w:pPr>
    <w:rPr>
      <w:rFonts w:ascii="Arial" w:eastAsia="Arial" w:hAnsi="Arial" w:cs="Arial"/>
      <w:b/>
      <w:bCs/>
      <w:color w:val="000000"/>
      <w:sz w:val="28"/>
      <w:szCs w:val="28"/>
      <w:u w:color="000000"/>
    </w:rPr>
  </w:style>
  <w:style w:type="paragraph" w:styleId="berschrift2">
    <w:name w:val="heading 2"/>
    <w:next w:val="Standard"/>
    <w:uiPriority w:val="9"/>
    <w:unhideWhenUsed/>
    <w:qFormat/>
    <w:pPr>
      <w:keepNext/>
      <w:jc w:val="center"/>
      <w:outlineLvl w:val="1"/>
    </w:pPr>
    <w:rPr>
      <w:rFonts w:ascii="Arial" w:hAnsi="Arial" w:cs="Arial Unicode MS"/>
      <w:i/>
      <w:iCs/>
      <w:color w:val="000000"/>
      <w:sz w:val="18"/>
      <w:szCs w:val="18"/>
      <w:u w:color="000000"/>
    </w:rPr>
  </w:style>
  <w:style w:type="paragraph" w:styleId="berschrift4">
    <w:name w:val="heading 4"/>
    <w:next w:val="Standard"/>
    <w:uiPriority w:val="9"/>
    <w:unhideWhenUsed/>
    <w:qFormat/>
    <w:pPr>
      <w:keepNext/>
      <w:spacing w:before="120" w:after="60"/>
      <w:jc w:val="center"/>
      <w:outlineLvl w:val="3"/>
    </w:pPr>
    <w:rPr>
      <w:rFonts w:ascii="Arial" w:hAnsi="Arial" w:cs="Arial Unicode MS"/>
      <w:i/>
      <w:iCs/>
      <w:color w:val="000000"/>
      <w:sz w:val="22"/>
      <w:szCs w:val="22"/>
      <w:u w:color="000000"/>
    </w:rPr>
  </w:style>
  <w:style w:type="paragraph" w:styleId="berschrift5">
    <w:name w:val="heading 5"/>
    <w:next w:val="Standard"/>
    <w:uiPriority w:val="9"/>
    <w:unhideWhenUsed/>
    <w:qFormat/>
    <w:pPr>
      <w:keepNext/>
      <w:tabs>
        <w:tab w:val="left" w:pos="1490"/>
      </w:tabs>
      <w:spacing w:before="120" w:after="60"/>
      <w:outlineLvl w:val="4"/>
    </w:pPr>
    <w:rPr>
      <w:rFonts w:ascii="Arial" w:hAnsi="Arial" w:cs="Arial Unicode MS"/>
      <w:i/>
      <w:iCs/>
      <w:color w:val="000000"/>
      <w:sz w:val="16"/>
      <w:szCs w:val="1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styleId="Kopfzeile">
    <w:name w:val="header"/>
    <w:pPr>
      <w:tabs>
        <w:tab w:val="center" w:pos="4536"/>
        <w:tab w:val="right" w:pos="9072"/>
      </w:tabs>
    </w:pPr>
    <w:rPr>
      <w:rFonts w:ascii="Arial" w:eastAsia="Arial" w:hAnsi="Arial" w:cs="Arial"/>
      <w:color w:val="000000"/>
      <w:sz w:val="22"/>
      <w:szCs w:val="22"/>
      <w:u w:color="000000"/>
    </w:rPr>
  </w:style>
  <w:style w:type="paragraph" w:customStyle="1" w:styleId="Text">
    <w:name w:val="Tex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2118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Borges</dc:creator>
  <cp:lastModifiedBy>Julie Borges</cp:lastModifiedBy>
  <cp:revision>2</cp:revision>
  <dcterms:created xsi:type="dcterms:W3CDTF">2021-03-24T10:52:00Z</dcterms:created>
  <dcterms:modified xsi:type="dcterms:W3CDTF">2021-03-24T10:52:00Z</dcterms:modified>
</cp:coreProperties>
</file>