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 xml:space="preserve">DIE LINKE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kern w:val="3"/>
                <w:sz w:val="24"/>
                <w:szCs w:val="24"/>
                <w:rtl w:val="0"/>
              </w:rPr>
              <w:t>Klimaneutralit</w:t>
            </w:r>
            <w:r>
              <w:rPr>
                <w:b w:val="1"/>
                <w:bCs w:val="1"/>
                <w:kern w:val="3"/>
                <w:sz w:val="24"/>
                <w:szCs w:val="24"/>
                <w:rtl w:val="0"/>
              </w:rPr>
              <w:t>ä</w:t>
            </w:r>
            <w:r>
              <w:rPr>
                <w:b w:val="1"/>
                <w:bCs w:val="1"/>
                <w:kern w:val="3"/>
                <w:sz w:val="24"/>
                <w:szCs w:val="24"/>
                <w:rtl w:val="0"/>
                <w:lang w:val="de-DE"/>
              </w:rPr>
              <w:t>t in der bezirklichen Verwaltungssteuerung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  <w:jc w:val="both"/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  <w:jc w:val="both"/>
      </w:pP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9"/>
        <w:rPr>
          <w:rFonts w:ascii="Helvetica Neue" w:cs="Helvetica Neue" w:hAnsi="Helvetica Neue" w:eastAsia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>Die BVV m</w:t>
      </w:r>
      <w:r>
        <w:rPr>
          <w:rFonts w:ascii="Helvetica Neue" w:hAnsi="Helvetica Neue" w:hint="default"/>
          <w:i w:val="0"/>
          <w:iCs w:val="0"/>
          <w:sz w:val="22"/>
          <w:szCs w:val="22"/>
          <w:rtl w:val="0"/>
          <w:lang w:val="de-DE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>ge beschlie</w:t>
      </w:r>
      <w:r>
        <w:rPr>
          <w:rFonts w:ascii="Helvetica Neue" w:hAnsi="Helvetica Neue" w:hint="default"/>
          <w:i w:val="0"/>
          <w:iCs w:val="0"/>
          <w:sz w:val="22"/>
          <w:szCs w:val="22"/>
          <w:rtl w:val="0"/>
          <w:lang w:val="de-DE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  <w:rtl w:val="0"/>
          <w:lang w:val="de-DE"/>
        </w:rPr>
        <w:t xml:space="preserve">en: </w:t>
      </w: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9"/>
        <w:rPr>
          <w:rFonts w:ascii="Helvetica Neue" w:cs="Helvetica Neue" w:hAnsi="Helvetica Neue" w:eastAsia="Helvetica Neue"/>
          <w:i w:val="0"/>
          <w:iCs w:val="0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Das Bezirksamt wird ersucht zu pr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fen, inwieweit Klima- bzw. Emissionsneutralit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 (weitgehende Treibhausgasneutralit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t) als ein priorit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res Ziel der Arbeit des 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mter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bergreifenden Steuerungsdienst definiert werden kann, um in Richtung eines emissionsneutralen Bezirksamts Tempelhof-Sch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neberg sp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testens zum Jahr 2030 hinzuwirken.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Dabei soll festgelegt werden, wie Handlungsvorschl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ge aus dem noch vorzulegenden, bezirklichen Klimaschutzplan in der Verwaltung implementiert werden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 xml:space="preserve">nnen und die Arbeit des Klimaschutzbeauftragten in die Verwaltungssteuerung integriert werden soll.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Der BVV ist bis Sommer 2021 (ggf. als Zwischenbericht) Mitteilung zu geben und anschlie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 xml:space="preserve">end daran im Hauptausschuss laufend Bericht zu erstatten.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Begr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ndung: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Mit Pressemitteilung vom 9.10.2020 hat sich die Bundesregierung das Ziel gesetzt, alle Bundesbeh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 xml:space="preserve">rden bis zum Jahr 2030 klimaneutral zu machen. Dazu hat sie eine eigene 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Koordinierungsstelle Klimaneutrale Bundesverwaltung</w:t>
      </w:r>
      <w:r>
        <w:rPr>
          <w:b w:val="0"/>
          <w:bCs w:val="0"/>
          <w:rtl w:val="0"/>
          <w:lang w:val="de-DE"/>
        </w:rPr>
        <w:t xml:space="preserve">“ </w:t>
      </w:r>
      <w:r>
        <w:rPr>
          <w:b w:val="0"/>
          <w:bCs w:val="0"/>
          <w:rtl w:val="0"/>
          <w:lang w:val="de-DE"/>
        </w:rPr>
        <w:t xml:space="preserve">eingesetzt, die 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mter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bergreifend eingesetzt wird. Der Antrag setzt analog dazu an: Das Ziel der Klima- bzw. Emissionsneutralit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r das Jahr 2030 wird anerkannt und sieht die 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mter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bergreifende Koordination in der Schl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 xml:space="preserve">sselfunktion zum Erreichen dieses Ziel.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0"/>
          <w:bCs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0"/>
          <w:bCs w:val="0"/>
          <w:rtl w:val="0"/>
          <w:lang w:val="de-DE"/>
        </w:rPr>
        <w:t>Die wesentliche fachliche Zuarbeit ist dabei vom Beauftragten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Klimaschutz zu leisten. In der Diskussion um die Drucksache 1566/XX (</w:t>
      </w:r>
      <w:r>
        <w:rPr>
          <w:b w:val="0"/>
          <w:bCs w:val="0"/>
          <w:rtl w:val="0"/>
          <w:lang w:val="de-DE"/>
        </w:rPr>
        <w:t>„</w:t>
      </w:r>
      <w:r>
        <w:rPr>
          <w:b w:val="0"/>
          <w:bCs w:val="0"/>
          <w:rtl w:val="0"/>
          <w:lang w:val="de-DE"/>
        </w:rPr>
        <w:t>Klimaschutzplan f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de-DE"/>
        </w:rPr>
        <w:t>r Tempelhof-Sch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de-DE"/>
        </w:rPr>
        <w:t>neberg - emissionsneutrales Bezirksamt ansteuern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de-DE"/>
        </w:rPr>
        <w:t>) wurde ein Klimaschutzkonzept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das Bezirksamt in Aussicht gestellt. Dieses soll die Grundlage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die Implementierung in den Fach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 xml:space="preserve">mtern sein, die in 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mtergreifender Weise vom Steuerungsdienst koordiniert werden k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nnte.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cs="Arial" w:hAnsi="Arial" w:eastAsia="Arial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cs="Arial" w:hAnsi="Arial" w:eastAsia="Arial"/>
        </w:rPr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15</w:t>
      </w:r>
      <w:r>
        <w:rPr>
          <w:rtl w:val="0"/>
          <w:lang w:val="de-DE"/>
        </w:rPr>
        <w:t>.03.20</w:t>
      </w:r>
      <w:r>
        <w:rPr>
          <w:rtl w:val="0"/>
          <w:lang w:val="de-DE"/>
        </w:rPr>
        <w:t>20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Frau Wissel, Elisabeth </w:t>
      </w:r>
      <w:r>
        <w:tab/>
        <w:tab/>
        <w:tab/>
      </w:r>
      <w:r>
        <w:rPr>
          <w:rtl w:val="0"/>
          <w:lang w:val="de-DE"/>
        </w:rPr>
        <w:t xml:space="preserve">                 Herr Rutsch, Martin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Fraktion</w:t>
      </w:r>
      <w:r>
        <w:rPr>
          <w:rtl w:val="0"/>
          <w:lang w:val="de-DE"/>
        </w:rPr>
        <w:t xml:space="preserve"> DIE LINKE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