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er"/>
        <w:tabs>
          <w:tab w:val="clear" w:pos="4536"/>
          <w:tab w:val="clear" w:pos="9072"/>
        </w:tabs>
      </w:pPr>
    </w:p>
    <w:tbl>
      <w:tblPr>
        <w:tblW w:w="916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441"/>
        <w:gridCol w:w="1726"/>
      </w:tblGrid>
      <w:tr>
        <w:tblPrEx>
          <w:shd w:val="clear" w:color="auto" w:fill="ced7e7"/>
        </w:tblPrEx>
        <w:trPr>
          <w:trHeight w:val="1918" w:hRule="atLeast"/>
        </w:trPr>
        <w:tc>
          <w:tcPr>
            <w:tcW w:type="dxa" w:w="74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both"/>
              <w:rPr>
                <w:b w:val="1"/>
                <w:bCs w:val="1"/>
              </w:rPr>
            </w:pPr>
            <w:r>
              <w:rPr>
                <w:b w:val="1"/>
                <w:bCs w:val="1"/>
                <w:rtl w:val="0"/>
                <w:lang w:val="de-DE"/>
              </w:rPr>
              <w:t>Drucksachen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 xml:space="preserve">der Bezirksverordnetenversammlung 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b w:val="1"/>
                <w:bCs w:val="1"/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Tempelhof-Sch</w:t>
            </w:r>
            <w:r>
              <w:rPr>
                <w:b w:val="1"/>
                <w:bCs w:val="1"/>
                <w:rtl w:val="0"/>
                <w:lang w:val="de-DE"/>
              </w:rPr>
              <w:t>ö</w:t>
            </w:r>
            <w:r>
              <w:rPr>
                <w:b w:val="1"/>
                <w:bCs w:val="1"/>
                <w:rtl w:val="0"/>
                <w:lang w:val="de-DE"/>
              </w:rPr>
              <w:t>neberg von Berlin</w:t>
            </w:r>
          </w:p>
          <w:p>
            <w:pPr>
              <w:pStyle w:val="header"/>
              <w:tabs>
                <w:tab w:val="clear" w:pos="4536"/>
                <w:tab w:val="clear" w:pos="9072"/>
              </w:tabs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b w:val="1"/>
                <w:bCs w:val="1"/>
                <w:rtl w:val="0"/>
                <w:lang w:val="de-DE"/>
              </w:rPr>
              <w:t>XX. Wahlperiode</w:t>
            </w:r>
          </w:p>
        </w:tc>
        <w:tc>
          <w:tcPr>
            <w:tcW w:type="dxa" w:w="17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  <w:jc w:val="right"/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838200" cy="1196340"/>
                  <wp:effectExtent l="0" t="0" r="0" b="0"/>
                  <wp:docPr id="1073741825" name="officeArt object" descr="030327 Wappen_neu_200x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030327 Wappen_neu_200x285" descr="030327 Wappen_neu_200x28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11963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  <w:spacing w:line="276" w:lineRule="auto"/>
        <w:jc w:val="both"/>
      </w:pPr>
      <w:r>
        <w:rPr>
          <w:sz w:val="24"/>
          <w:szCs w:val="24"/>
          <w:rtl w:val="0"/>
          <w:lang w:val="de-DE"/>
        </w:rPr>
        <w:t xml:space="preserve">Ursprung: </w:t>
      </w:r>
      <w:r>
        <w:rPr>
          <w:rtl w:val="0"/>
          <w:lang w:val="de-DE"/>
        </w:rPr>
        <w:t xml:space="preserve">DIE LINKE </w:t>
      </w:r>
    </w:p>
    <w:tbl>
      <w:tblPr>
        <w:tblW w:w="921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88"/>
        <w:gridCol w:w="7724"/>
      </w:tblGrid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er"/>
              <w:tabs>
                <w:tab w:val="clear" w:pos="4536"/>
                <w:tab w:val="clear" w:pos="9072"/>
              </w:tabs>
            </w:pPr>
            <w:r>
              <w:rPr>
                <w:i w:val="0"/>
                <w:iCs w:val="0"/>
                <w:rtl w:val="0"/>
                <w:lang w:val="de-DE"/>
              </w:rPr>
              <w:t>Beratungsfolge: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1488"/>
            <w:tcBorders>
              <w:top w:val="nil"/>
              <w:left w:val="single" w:color="000000" w:sz="6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4"/>
              <w:spacing w:before="0" w:after="0"/>
            </w:pPr>
            <w:r>
              <w:rPr>
                <w:rtl w:val="0"/>
                <w:lang w:val="de-DE"/>
              </w:rPr>
              <w:t>Datum</w:t>
            </w:r>
          </w:p>
        </w:tc>
        <w:tc>
          <w:tcPr>
            <w:tcW w:type="dxa" w:w="7724"/>
            <w:tcBorders>
              <w:top w:val="nil"/>
              <w:left w:val="nil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5"/>
              <w:spacing w:before="0" w:after="0"/>
            </w:pPr>
            <w:r>
              <w:rPr>
                <w:sz w:val="20"/>
                <w:szCs w:val="20"/>
                <w:rtl w:val="0"/>
                <w:lang w:val="de-DE"/>
              </w:rPr>
              <w:t>Gremium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nil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18"/>
                <w:tab w:val="left" w:pos="2268"/>
              </w:tabs>
            </w:pPr>
            <w:r>
              <w:rPr>
                <w:rtl w:val="0"/>
                <w:lang w:val="de-DE"/>
              </w:rPr>
              <w:t>Wird von Allris automatisch ausgef</w:t>
            </w:r>
            <w:r>
              <w:rPr>
                <w:rtl w:val="0"/>
                <w:lang w:val="de-DE"/>
              </w:rPr>
              <w:t>ü</w:t>
            </w:r>
            <w:r>
              <w:rPr>
                <w:rtl w:val="0"/>
                <w:lang w:val="de-DE"/>
              </w:rPr>
              <w:t>llt.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9212"/>
            <w:gridSpan w:val="2"/>
            <w:tcBorders>
              <w:top w:val="nil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tbl>
      <w:tblPr>
        <w:tblW w:w="906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787"/>
        <w:gridCol w:w="1674"/>
        <w:gridCol w:w="1603"/>
      </w:tblGrid>
      <w:tr>
        <w:tblPrEx>
          <w:shd w:val="clear" w:color="auto" w:fill="ced7e7"/>
        </w:tblPrEx>
        <w:trPr>
          <w:trHeight w:val="971" w:hRule="atLeast"/>
        </w:trPr>
        <w:tc>
          <w:tcPr>
            <w:tcW w:type="dxa" w:w="578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rPr/>
            </w:pPr>
            <w:r>
              <w:rPr/>
              <w:fldChar w:fldCharType="begin" w:fldLock="0"/>
            </w:r>
            <w:r>
              <w:rPr/>
              <w:instrText xml:space="preserve"> MERGEFIELD VOVANR </w:instrText>
            </w:r>
            <w:r>
              <w:rPr/>
              <w:fldChar w:fldCharType="separate" w:fldLock="0"/>
            </w:r>
            <w:r>
              <w:rPr>
                <w:rtl w:val="0"/>
                <w:lang w:val="de-DE"/>
              </w:rPr>
              <w:t>Antrag</w:t>
            </w:r>
            <w:r>
              <w:rPr/>
              <w:fldChar w:fldCharType="end" w:fldLock="0"/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rtl w:val="0"/>
                <w:lang w:val="de-DE"/>
              </w:rPr>
              <w:t>Wird von Allris automatisch ausgef</w:t>
            </w:r>
            <w:r>
              <w:rPr>
                <w:b w:val="0"/>
                <w:bCs w:val="0"/>
                <w:rtl w:val="0"/>
                <w:lang w:val="de-DE"/>
              </w:rPr>
              <w:t>ü</w:t>
            </w:r>
            <w:r>
              <w:rPr>
                <w:b w:val="0"/>
                <w:bCs w:val="0"/>
                <w:rtl w:val="0"/>
                <w:lang w:val="de-DE"/>
              </w:rPr>
              <w:t>llt.</w:t>
            </w:r>
          </w:p>
        </w:tc>
        <w:tc>
          <w:tcPr>
            <w:tcW w:type="dxa" w:w="167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/>
            </w:pPr>
            <w:r>
              <w:rPr>
                <w:b w:val="1"/>
                <w:bCs w:val="1"/>
                <w:sz w:val="28"/>
                <w:szCs w:val="28"/>
                <w:rtl w:val="0"/>
                <w:lang w:val="de-DE"/>
              </w:rPr>
              <w:t>Drucks. Nr:</w:t>
            </w:r>
            <w:r>
              <w:rPr>
                <w:b w:val="1"/>
                <w:bCs w:val="1"/>
                <w:sz w:val="28"/>
                <w:szCs w:val="28"/>
              </w:rPr>
            </w:r>
          </w:p>
        </w:tc>
        <w:tc>
          <w:tcPr>
            <w:tcW w:type="dxa" w:w="160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1490"/>
              </w:tabs>
              <w:spacing w:before="120" w:after="120"/>
              <w:jc w:val="right"/>
            </w:pPr>
            <w:r>
              <w:rPr>
                <w:b w:val="0"/>
                <w:bCs w:val="0"/>
                <w:sz w:val="22"/>
                <w:szCs w:val="22"/>
                <w:rtl w:val="0"/>
                <w:lang w:val="de-DE"/>
              </w:rPr>
              <w:t>automatisch erstellt.</w:t>
            </w:r>
            <w:r>
              <w:rPr>
                <w:b w:val="1"/>
                <w:bCs w:val="1"/>
                <w:sz w:val="28"/>
                <w:szCs w:val="28"/>
              </w:rPr>
              <w:fldChar w:fldCharType="begin" w:fldLock="0"/>
            </w:r>
            <w:r>
              <w:rPr>
                <w:b w:val="1"/>
                <w:bCs w:val="1"/>
                <w:sz w:val="28"/>
                <w:szCs w:val="28"/>
              </w:rPr>
              <w:instrText xml:space="preserve"> MERGEFIELD VONAME </w:instrText>
            </w:r>
            <w:r>
              <w:rPr>
                <w:b w:val="1"/>
                <w:bCs w:val="1"/>
                <w:sz w:val="28"/>
                <w:szCs w:val="28"/>
              </w:rPr>
              <w:fldChar w:fldCharType="separate" w:fldLock="0"/>
            </w:r>
            <w:r>
              <w:rPr>
                <w:b w:val="1"/>
                <w:bCs w:val="1"/>
                <w:sz w:val="28"/>
                <w:szCs w:val="28"/>
                <w:rtl w:val="0"/>
              </w:rPr>
              <w:t>/XIX</w:t>
            </w:r>
            <w:r>
              <w:rPr>
                <w:b w:val="1"/>
                <w:bCs w:val="1"/>
                <w:sz w:val="28"/>
                <w:szCs w:val="28"/>
              </w:rPr>
              <w:fldChar w:fldCharType="end" w:fldLock="0"/>
            </w: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8"/>
                <w:szCs w:val="28"/>
                <w:lang w:val="de-DE"/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775" w:hRule="atLeast"/>
        </w:trPr>
        <w:tc>
          <w:tcPr>
            <w:tcW w:type="dxa" w:w="9064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 Unicode MS" w:cs="Arial Unicode MS" w:hAnsi="Arial Unicode MS" w:eastAsia="Arial Unicode MS"/>
                <w:b w:val="0"/>
                <w:bCs w:val="0"/>
                <w:i w:val="0"/>
                <w:iCs w:val="0"/>
                <w:sz w:val="24"/>
                <w:szCs w:val="24"/>
                <w:lang w:val="de-DE"/>
              </w:rPr>
              <w:br w:type="textWrapping"/>
            </w: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rtl w:val="0"/>
                <w:lang w:val="de-DE"/>
              </w:rPr>
              <w:t>Geregeltes Verfahren f</w:t>
            </w:r>
            <w:r>
              <w:rPr>
                <w:rFonts w:ascii="Helvetica Neue" w:hAnsi="Helvetica Neue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Helvetica Neue" w:hAnsi="Helvetica Neue"/>
                <w:b w:val="1"/>
                <w:bCs w:val="1"/>
                <w:sz w:val="24"/>
                <w:szCs w:val="24"/>
                <w:rtl w:val="0"/>
                <w:lang w:val="de-DE"/>
              </w:rPr>
              <w:t>r die Umbenennung des Kaiser-Wilhelm-Platzes</w:t>
            </w:r>
            <w:r>
              <w:rPr>
                <w:b w:val="1"/>
                <w:bCs w:val="1"/>
                <w:sz w:val="24"/>
                <w:szCs w:val="24"/>
              </w:rPr>
            </w:r>
          </w:p>
        </w:tc>
      </w:tr>
    </w:tbl>
    <w:p>
      <w:pPr>
        <w:pStyle w:val="header"/>
        <w:widowControl w:val="0"/>
        <w:tabs>
          <w:tab w:val="clear" w:pos="4536"/>
          <w:tab w:val="clear" w:pos="9072"/>
        </w:tabs>
      </w:pPr>
    </w:p>
    <w:p>
      <w:pPr>
        <w:pStyle w:val="header"/>
        <w:tabs>
          <w:tab w:val="clear" w:pos="4536"/>
          <w:tab w:val="clear" w:pos="9072"/>
        </w:tabs>
      </w:pPr>
    </w:p>
    <w:p>
      <w:pPr>
        <w:pStyle w:val="Normal.0"/>
      </w:pPr>
      <w:bookmarkStart w:name="Beschlußvorschlag" w:id="0"/>
      <w:bookmarkEnd w:id="0"/>
    </w:p>
    <w:p>
      <w:pPr>
        <w:pStyle w:val="header"/>
        <w:tabs>
          <w:tab w:val="right" w:pos="9044"/>
          <w:tab w:val="clear" w:pos="9072"/>
        </w:tabs>
        <w:jc w:val="both"/>
      </w:pPr>
      <w:r>
        <w:rPr>
          <w:rtl w:val="0"/>
          <w:lang w:val="de-DE"/>
        </w:rPr>
        <w:t>Die Bezirksverordnetenversammlung m</w:t>
      </w:r>
      <w:r>
        <w:rPr>
          <w:rtl w:val="0"/>
          <w:lang w:val="de-DE"/>
        </w:rPr>
        <w:t>ö</w:t>
      </w:r>
      <w:r>
        <w:rPr>
          <w:rtl w:val="0"/>
          <w:lang w:val="de-DE"/>
        </w:rPr>
        <w:t>ge beschlie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en:</w:t>
      </w:r>
    </w:p>
    <w:p>
      <w:pPr>
        <w:pStyle w:val="header"/>
        <w:tabs>
          <w:tab w:val="right" w:pos="9044"/>
          <w:tab w:val="clear" w:pos="9072"/>
        </w:tabs>
        <w:jc w:val="both"/>
      </w:pPr>
    </w:p>
    <w:p>
      <w:pPr>
        <w:pStyle w:val="heading 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9"/>
        <w:rPr>
          <w:rFonts w:ascii="Helvetica Neue" w:cs="Helvetica Neue" w:hAnsi="Helvetica Neue" w:eastAsia="Helvetica Neue"/>
          <w:i w:val="0"/>
          <w:iCs w:val="0"/>
          <w:sz w:val="22"/>
          <w:szCs w:val="22"/>
        </w:rPr>
      </w:pP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>Die BVV m</w:t>
      </w:r>
      <w:r>
        <w:rPr>
          <w:rFonts w:ascii="Helvetica Neue" w:hAnsi="Helvetica Neue" w:hint="default"/>
          <w:i w:val="0"/>
          <w:iCs w:val="0"/>
          <w:sz w:val="22"/>
          <w:szCs w:val="22"/>
          <w:rtl w:val="0"/>
          <w:lang w:val="de-DE"/>
        </w:rPr>
        <w:t>ö</w:t>
      </w: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>ge beschlie</w:t>
      </w:r>
      <w:r>
        <w:rPr>
          <w:rFonts w:ascii="Helvetica Neue" w:hAnsi="Helvetica Neue" w:hint="default"/>
          <w:i w:val="0"/>
          <w:iCs w:val="0"/>
          <w:sz w:val="22"/>
          <w:szCs w:val="22"/>
          <w:rtl w:val="0"/>
          <w:lang w:val="de-DE"/>
        </w:rPr>
        <w:t>ß</w:t>
      </w:r>
      <w:r>
        <w:rPr>
          <w:rFonts w:ascii="Helvetica Neue" w:hAnsi="Helvetica Neue"/>
          <w:i w:val="0"/>
          <w:iCs w:val="0"/>
          <w:sz w:val="22"/>
          <w:szCs w:val="22"/>
          <w:rtl w:val="0"/>
          <w:lang w:val="de-DE"/>
        </w:rPr>
        <w:t xml:space="preserve">en: </w:t>
      </w:r>
    </w:p>
    <w:p>
      <w:pPr>
        <w:pStyle w:val="heading 2"/>
        <w:keepNext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outlineLvl w:val="9"/>
        <w:rPr>
          <w:rFonts w:ascii="Helvetica Neue" w:cs="Helvetica Neue" w:hAnsi="Helvetica Neue" w:eastAsia="Helvetica Neue"/>
          <w:i w:val="0"/>
          <w:iCs w:val="0"/>
          <w:sz w:val="22"/>
          <w:szCs w:val="22"/>
        </w:rPr>
      </w:pPr>
    </w:p>
    <w:p>
      <w:pPr>
        <w:pStyle w:val="Text"/>
        <w:bidi w:val="0"/>
      </w:pPr>
      <w:r>
        <w:rPr>
          <w:rtl w:val="0"/>
        </w:rPr>
        <w:t>Der Beschluss 2025/XX wird zur</w:t>
      </w:r>
      <w:r>
        <w:rPr>
          <w:rtl w:val="0"/>
        </w:rPr>
        <w:t>ü</w:t>
      </w:r>
      <w:r>
        <w:rPr>
          <w:rtl w:val="0"/>
        </w:rPr>
        <w:t xml:space="preserve">ckgenommen. </w:t>
      </w:r>
    </w:p>
    <w:p>
      <w:pPr>
        <w:pStyle w:val="Text"/>
        <w:bidi w:val="0"/>
      </w:pP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Verdana" w:cs="Verdana" w:hAnsi="Verdana" w:eastAsia="Verdana"/>
        </w:rPr>
      </w:pPr>
      <w:r>
        <w:rPr>
          <w:rFonts w:ascii="Helvetica" w:hAnsi="Helvetica"/>
          <w:rtl w:val="0"/>
          <w:lang w:val="de-DE"/>
        </w:rPr>
        <w:t>Das Bezirksamt wird ersucht, die fehlende B</w:t>
      </w:r>
      <w:r>
        <w:rPr>
          <w:rFonts w:ascii="Helvetica" w:hAnsi="Helvetica" w:hint="default"/>
          <w:rtl w:val="0"/>
        </w:rPr>
        <w:t>ü</w:t>
      </w:r>
      <w:r>
        <w:rPr>
          <w:rFonts w:ascii="Helvetica" w:hAnsi="Helvetica"/>
          <w:rtl w:val="0"/>
          <w:lang w:val="de-DE"/>
        </w:rPr>
        <w:t>rgerbeteiligung nachzuholen, indem vor der</w:t>
      </w:r>
      <w:r>
        <w:rPr>
          <w:rFonts w:ascii="Helvetica" w:hAnsi="Helvetica"/>
          <w:rtl w:val="0"/>
          <w:lang w:val="de-DE"/>
        </w:rPr>
        <w:t xml:space="preserve"> </w:t>
      </w:r>
      <w:r>
        <w:rPr>
          <w:rFonts w:ascii="Helvetica" w:hAnsi="Helvetica"/>
          <w:rtl w:val="0"/>
          <w:lang w:val="de-DE"/>
        </w:rPr>
        <w:t>Umbenennung des Kaiser-Wilhelm-Platzes beispielsweise ein</w:t>
      </w:r>
      <w:r>
        <w:rPr>
          <w:rFonts w:ascii="Helvetica" w:hAnsi="Helvetica" w:hint="default"/>
          <w:rtl w:val="0"/>
        </w:rPr>
        <w:t> </w:t>
      </w:r>
      <w:r>
        <w:rPr>
          <w:rFonts w:ascii="Helvetica" w:hAnsi="Helvetica"/>
          <w:rtl w:val="0"/>
          <w:lang w:val="de-DE"/>
        </w:rPr>
        <w:t>angemessenes (Online)-Format f</w:t>
      </w:r>
      <w:r>
        <w:rPr>
          <w:rFonts w:ascii="Helvetica" w:hAnsi="Helvetica" w:hint="default"/>
          <w:rtl w:val="0"/>
        </w:rPr>
        <w:t>ü</w:t>
      </w:r>
      <w:r>
        <w:rPr>
          <w:rFonts w:ascii="Helvetica" w:hAnsi="Helvetica"/>
          <w:rtl w:val="0"/>
          <w:lang w:val="de-DE"/>
        </w:rPr>
        <w:t xml:space="preserve">r Anwohnende </w:t>
      </w:r>
      <w:r>
        <w:rPr>
          <w:rFonts w:ascii="Helvetica" w:hAnsi="Helvetica"/>
          <w:rtl w:val="0"/>
          <w:lang w:val="de-DE"/>
        </w:rPr>
        <w:t>geschaffen wird</w:t>
      </w:r>
      <w:r>
        <w:rPr>
          <w:rFonts w:ascii="Helvetica" w:hAnsi="Helvetica"/>
          <w:rtl w:val="0"/>
          <w:lang w:val="de-DE"/>
        </w:rPr>
        <w:t>, um ein Meinungsbild</w:t>
      </w:r>
      <w:r>
        <w:rPr>
          <w:rFonts w:ascii="Helvetica" w:hAnsi="Helvetica" w:hint="default"/>
          <w:rtl w:val="0"/>
        </w:rPr>
        <w:t> ü</w:t>
      </w:r>
      <w:r>
        <w:rPr>
          <w:rFonts w:ascii="Helvetica" w:hAnsi="Helvetica"/>
          <w:rtl w:val="0"/>
          <w:lang w:val="de-DE"/>
        </w:rPr>
        <w:t>ber die Umbenennung einzuholen</w:t>
      </w:r>
      <w:r>
        <w:rPr>
          <w:rFonts w:ascii="Helvetica" w:hAnsi="Helvetica"/>
          <w:rtl w:val="0"/>
          <w:lang w:val="de-DE"/>
        </w:rPr>
        <w:t xml:space="preserve">. 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Verdana" w:cs="Verdana" w:hAnsi="Verdana" w:eastAsia="Verdana"/>
        </w:rPr>
      </w:pPr>
      <w:r>
        <w:rPr>
          <w:rFonts w:ascii="Verdana" w:hAnsi="Verdana" w:hint="default"/>
          <w:rtl w:val="0"/>
        </w:rPr>
        <w:t> 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Helvetica" w:cs="Helvetica" w:hAnsi="Helvetica" w:eastAsia="Helvetica"/>
        </w:rPr>
      </w:pPr>
      <w:r>
        <w:rPr>
          <w:rFonts w:ascii="Helvetica" w:hAnsi="Helvetica"/>
          <w:rtl w:val="0"/>
          <w:lang w:val="de-DE"/>
        </w:rPr>
        <w:t>Dieses Meinungsbild soll</w:t>
      </w:r>
      <w:r>
        <w:rPr>
          <w:rFonts w:ascii="Helvetica" w:hAnsi="Helvetica"/>
          <w:rtl w:val="0"/>
          <w:lang w:val="de-DE"/>
        </w:rPr>
        <w:t xml:space="preserve"> im Rahmen der </w:t>
      </w:r>
      <w:r>
        <w:rPr>
          <w:rFonts w:ascii="Helvetica" w:hAnsi="Helvetica"/>
          <w:rtl w:val="0"/>
          <w:lang w:val="de-DE"/>
        </w:rPr>
        <w:t xml:space="preserve">aktuellen Bestimmungen der AV </w:t>
      </w:r>
      <w:r>
        <w:rPr>
          <w:rFonts w:ascii="Helvetica" w:hAnsi="Helvetica"/>
          <w:rtl w:val="0"/>
          <w:lang w:val="de-DE"/>
        </w:rPr>
        <w:t>Benennung</w:t>
      </w:r>
      <w:r>
        <w:rPr>
          <w:rFonts w:ascii="Helvetica" w:hAnsi="Helvetica"/>
          <w:rtl w:val="0"/>
          <w:lang w:val="de-DE"/>
        </w:rPr>
        <w:t xml:space="preserve"> im Kulturauschuss </w:t>
      </w:r>
      <w:r>
        <w:rPr>
          <w:rFonts w:ascii="Helvetica" w:hAnsi="Helvetica"/>
          <w:rtl w:val="0"/>
          <w:lang w:val="de-DE"/>
        </w:rPr>
        <w:t>und</w:t>
      </w:r>
      <w:r>
        <w:rPr>
          <w:rFonts w:ascii="Helvetica" w:hAnsi="Helvetica"/>
          <w:rtl w:val="0"/>
          <w:lang w:val="de-DE"/>
        </w:rPr>
        <w:t xml:space="preserve"> in der Gedenktafelkommission ad</w:t>
      </w:r>
      <w:r>
        <w:rPr>
          <w:rFonts w:ascii="Helvetica" w:hAnsi="Helvetica" w:hint="default"/>
          <w:rtl w:val="0"/>
        </w:rPr>
        <w:t>ä</w:t>
      </w:r>
      <w:r>
        <w:rPr>
          <w:rFonts w:ascii="Helvetica" w:hAnsi="Helvetica"/>
          <w:rtl w:val="0"/>
          <w:lang w:val="de-DE"/>
        </w:rPr>
        <w:t>quat behandelt werden</w:t>
      </w:r>
      <w:r>
        <w:rPr>
          <w:rFonts w:ascii="Helvetica" w:hAnsi="Helvetica"/>
          <w:rtl w:val="0"/>
          <w:lang w:val="de-DE"/>
        </w:rPr>
        <w:t>.</w:t>
      </w:r>
      <w:r>
        <w:rPr>
          <w:rFonts w:ascii="Helvetica" w:hAnsi="Helvetica"/>
          <w:rtl w:val="0"/>
        </w:rPr>
        <w:t xml:space="preserve"> </w:t>
      </w:r>
      <w:r>
        <w:rPr>
          <w:rFonts w:ascii="Helvetica" w:hAnsi="Helvetica"/>
          <w:rtl w:val="0"/>
          <w:lang w:val="de-DE"/>
        </w:rPr>
        <w:t>Die</w:t>
      </w:r>
      <w:r>
        <w:rPr>
          <w:rFonts w:ascii="Helvetica" w:hAnsi="Helvetica"/>
          <w:rtl w:val="0"/>
          <w:lang w:val="de-DE"/>
        </w:rPr>
        <w:t xml:space="preserve"> Ergebnisse</w:t>
      </w:r>
      <w:r>
        <w:rPr>
          <w:rFonts w:ascii="Helvetica" w:hAnsi="Helvetica"/>
          <w:rtl w:val="0"/>
          <w:lang w:val="de-DE"/>
        </w:rPr>
        <w:t xml:space="preserve"> sollen</w:t>
      </w:r>
      <w:r>
        <w:rPr>
          <w:rFonts w:ascii="Helvetica" w:hAnsi="Helvetica"/>
          <w:rtl w:val="0"/>
          <w:lang w:val="de-DE"/>
        </w:rPr>
        <w:t xml:space="preserve"> in den weiteren Verfahr</w:t>
      </w:r>
      <w:r>
        <w:rPr>
          <w:rFonts w:ascii="Helvetica" w:hAnsi="Helvetica"/>
          <w:rtl w:val="0"/>
          <w:lang w:val="de-DE"/>
        </w:rPr>
        <w:t>ens</w:t>
      </w:r>
      <w:r>
        <w:rPr>
          <w:rFonts w:ascii="Helvetica" w:hAnsi="Helvetica"/>
          <w:rtl w:val="0"/>
          <w:lang w:val="de-DE"/>
        </w:rPr>
        <w:t>prozess integriert werden.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Verdana" w:cs="Verdana" w:hAnsi="Verdana" w:eastAsia="Verdana"/>
        </w:rPr>
      </w:pPr>
      <w:r>
        <w:rPr>
          <w:rFonts w:ascii="Verdana" w:hAnsi="Verdana" w:hint="default"/>
          <w:rtl w:val="0"/>
        </w:rPr>
        <w:t> </w:t>
      </w:r>
    </w:p>
    <w:p>
      <w:pPr>
        <w:pStyle w:val="Normal.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left"/>
        <w:rPr>
          <w:rFonts w:ascii="Verdana" w:cs="Verdana" w:hAnsi="Verdana" w:eastAsia="Verdana"/>
        </w:rPr>
      </w:pPr>
      <w:r>
        <w:rPr>
          <w:rFonts w:ascii="Helvetica" w:hAnsi="Helvetica"/>
          <w:rtl w:val="0"/>
          <w:lang w:val="de-DE"/>
        </w:rPr>
        <w:t>Zudem wird das Bezirksamt ersucht zu pr</w:t>
      </w:r>
      <w:r>
        <w:rPr>
          <w:rFonts w:ascii="Helvetica" w:hAnsi="Helvetica" w:hint="default"/>
          <w:rtl w:val="0"/>
        </w:rPr>
        <w:t>ü</w:t>
      </w:r>
      <w:r>
        <w:rPr>
          <w:rFonts w:ascii="Helvetica" w:hAnsi="Helvetica"/>
          <w:rtl w:val="0"/>
          <w:lang w:val="de-DE"/>
        </w:rPr>
        <w:t>fen, inwieweit Kosten f</w:t>
      </w:r>
      <w:r>
        <w:rPr>
          <w:rFonts w:ascii="Helvetica" w:hAnsi="Helvetica" w:hint="default"/>
          <w:rtl w:val="0"/>
        </w:rPr>
        <w:t>ü</w:t>
      </w:r>
      <w:r>
        <w:rPr>
          <w:rFonts w:ascii="Helvetica" w:hAnsi="Helvetica"/>
          <w:rtl w:val="0"/>
          <w:lang w:val="de-DE"/>
        </w:rPr>
        <w:t xml:space="preserve">r die </w:t>
      </w:r>
      <w:r>
        <w:rPr>
          <w:rFonts w:ascii="Helvetica" w:hAnsi="Helvetica" w:hint="default"/>
          <w:rtl w:val="0"/>
          <w:lang w:val="sv-SE"/>
        </w:rPr>
        <w:t>Ä</w:t>
      </w:r>
      <w:r>
        <w:rPr>
          <w:rFonts w:ascii="Helvetica" w:hAnsi="Helvetica"/>
          <w:rtl w:val="0"/>
          <w:lang w:val="de-DE"/>
        </w:rPr>
        <w:t>nderung von</w:t>
      </w:r>
      <w:r>
        <w:rPr>
          <w:rFonts w:ascii="Helvetica" w:hAnsi="Helvetica" w:hint="default"/>
          <w:rtl w:val="0"/>
        </w:rPr>
        <w:t> </w:t>
      </w:r>
      <w:r>
        <w:rPr>
          <w:rFonts w:ascii="Helvetica" w:hAnsi="Helvetica"/>
          <w:rtl w:val="0"/>
          <w:lang w:val="de-DE"/>
        </w:rPr>
        <w:t>amtlichen Dokumenten von Bewohner:innen durch das Bezirksamt selbst getragen</w:t>
      </w:r>
      <w:r>
        <w:rPr>
          <w:rFonts w:ascii="Helvetica" w:hAnsi="Helvetica" w:hint="default"/>
          <w:rtl w:val="0"/>
        </w:rPr>
        <w:t> </w:t>
      </w:r>
      <w:r>
        <w:rPr>
          <w:rFonts w:ascii="Helvetica" w:hAnsi="Helvetica"/>
          <w:rtl w:val="0"/>
          <w:lang w:val="de-DE"/>
        </w:rPr>
        <w:t>werden k</w:t>
      </w:r>
      <w:r>
        <w:rPr>
          <w:rFonts w:ascii="Helvetica" w:hAnsi="Helvetica" w:hint="default"/>
          <w:rtl w:val="0"/>
          <w:lang w:val="sv-SE"/>
        </w:rPr>
        <w:t>ö</w:t>
      </w:r>
      <w:r>
        <w:rPr>
          <w:rFonts w:ascii="Helvetica" w:hAnsi="Helvetica"/>
          <w:rtl w:val="0"/>
        </w:rPr>
        <w:t>nnen.</w:t>
      </w:r>
    </w:p>
    <w:p>
      <w:pPr>
        <w:pStyle w:val="Text"/>
        <w:bidi w:val="0"/>
        <w:rPr>
          <w:rFonts w:ascii="Verdana" w:cs="Verdana" w:hAnsi="Verdana" w:eastAsia="Verdana"/>
        </w:rPr>
      </w:pPr>
    </w:p>
    <w:p>
      <w:pPr>
        <w:pStyle w:val="Text"/>
        <w:bidi w:val="0"/>
      </w:pPr>
    </w:p>
    <w:p>
      <w:pPr>
        <w:pStyle w:val="Text"/>
        <w:bidi w:val="0"/>
      </w:pPr>
      <w:r>
        <w:rPr>
          <w:rtl w:val="0"/>
        </w:rPr>
        <w:t>Begr</w:t>
      </w:r>
      <w:r>
        <w:rPr>
          <w:rtl w:val="0"/>
        </w:rPr>
        <w:t>ü</w:t>
      </w:r>
      <w:r>
        <w:rPr>
          <w:rtl w:val="0"/>
        </w:rPr>
        <w:t>ndung: ggf. m</w:t>
      </w:r>
      <w:r>
        <w:rPr>
          <w:rtl w:val="0"/>
        </w:rPr>
        <w:t>ü</w:t>
      </w:r>
      <w:r>
        <w:rPr>
          <w:rtl w:val="0"/>
        </w:rPr>
        <w:t>ndlich.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Berlin, den </w:t>
      </w:r>
      <w:r>
        <w:rPr>
          <w:rtl w:val="0"/>
          <w:lang w:val="de-DE"/>
        </w:rPr>
        <w:t>15</w:t>
      </w:r>
      <w:r>
        <w:rPr>
          <w:rtl w:val="0"/>
          <w:lang w:val="de-DE"/>
        </w:rPr>
        <w:t>.03.20</w:t>
      </w:r>
      <w:r>
        <w:rPr>
          <w:rtl w:val="0"/>
          <w:lang w:val="de-DE"/>
        </w:rPr>
        <w:t>20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 xml:space="preserve">Frau Wissel, Elisabeth </w:t>
      </w:r>
      <w:r>
        <w:tab/>
        <w:tab/>
        <w:tab/>
      </w:r>
      <w:r>
        <w:rPr>
          <w:rtl w:val="0"/>
          <w:lang w:val="de-DE"/>
        </w:rPr>
        <w:t xml:space="preserve">        </w:t>
      </w:r>
    </w:p>
    <w:p>
      <w:pPr>
        <w:pStyle w:val="Normal.0"/>
        <w:spacing w:line="276" w:lineRule="auto"/>
        <w:jc w:val="both"/>
      </w:pPr>
    </w:p>
    <w:p>
      <w:pPr>
        <w:pStyle w:val="Normal.0"/>
        <w:spacing w:line="276" w:lineRule="auto"/>
        <w:jc w:val="both"/>
      </w:pPr>
      <w:r>
        <w:rPr>
          <w:rtl w:val="0"/>
          <w:lang w:val="de-DE"/>
        </w:rPr>
        <w:t>Fraktion</w:t>
      </w:r>
      <w:r>
        <w:rPr>
          <w:rtl w:val="0"/>
          <w:lang w:val="de-DE"/>
        </w:rPr>
        <w:t xml:space="preserve"> DIE LINKE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851" w:right="1418" w:bottom="1134" w:left="1418" w:header="284" w:footer="284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4"/>
        <w:tab w:val="clear" w:pos="9072"/>
      </w:tabs>
      <w:rPr>
        <w:sz w:val="16"/>
        <w:szCs w:val="16"/>
      </w:rPr>
    </w:pPr>
    <w:r>
      <w:rPr>
        <w:sz w:val="16"/>
        <w:szCs w:val="16"/>
      </w:rPr>
      <w:tab/>
      <w:tab/>
    </w:r>
  </w:p>
  <w:p>
    <w:pPr>
      <w:pStyle w:val="footer"/>
      <w:tabs>
        <w:tab w:val="right" w:pos="9044"/>
        <w:tab w:val="clear" w:pos="9072"/>
      </w:tabs>
    </w:pPr>
    <w:r>
      <w:rPr>
        <w:sz w:val="16"/>
        <w:szCs w:val="16"/>
        <w:rtl w:val="0"/>
      </w:rPr>
      <w:tab/>
      <w:tab/>
      <w:t xml:space="preserve">Seite: 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NUMPAGES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  <w:r>
      <w:rPr>
        <w:sz w:val="16"/>
        <w:szCs w:val="16"/>
        <w:rtl w:val="0"/>
        <w:lang w:val="de-DE"/>
      </w:rPr>
      <w:t>/</w:t>
    </w:r>
    <w:r>
      <w:rPr>
        <w:sz w:val="16"/>
        <w:szCs w:val="16"/>
        <w:rtl w:val="0"/>
      </w:rPr>
      <w:fldChar w:fldCharType="begin" w:fldLock="0"/>
    </w:r>
    <w:r>
      <w:rPr>
        <w:sz w:val="16"/>
        <w:szCs w:val="16"/>
        <w:rtl w:val="0"/>
      </w:rPr>
      <w:instrText xml:space="preserve"> PAGE </w:instrText>
    </w:r>
    <w:r>
      <w:rPr>
        <w:sz w:val="16"/>
        <w:szCs w:val="16"/>
        <w:rtl w:val="0"/>
      </w:rPr>
      <w:fldChar w:fldCharType="separate" w:fldLock="0"/>
    </w:r>
    <w:r>
      <w:rPr>
        <w:sz w:val="16"/>
        <w:szCs w:val="16"/>
        <w:rtl w:val="0"/>
      </w:rPr>
      <w:t>2</w:t>
    </w:r>
    <w:r>
      <w:rPr>
        <w:sz w:val="16"/>
        <w:szCs w:val="16"/>
        <w:rtl w:val="0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bidi w:val="0"/>
      <w:ind w:left="0" w:right="0" w:firstLine="0"/>
      <w:jc w:val="left"/>
      <w:rPr>
        <w:sz w:val="24"/>
        <w:szCs w:val="24"/>
        <w:rtl w:val="0"/>
      </w:rPr>
    </w:pPr>
    <w:r>
      <w:rPr>
        <w:sz w:val="24"/>
        <w:szCs w:val="24"/>
        <w:rtl w:val="0"/>
        <w:lang w:val="de-DE"/>
      </w:rPr>
      <w:t>Abstimmungsergebnis:</w:t>
    </w:r>
  </w:p>
  <w:p>
    <w:pPr>
      <w:pStyle w:val="footer"/>
      <w:rPr>
        <w:sz w:val="16"/>
        <w:szCs w:val="16"/>
      </w:rPr>
    </w:pPr>
  </w:p>
  <w:p>
    <w:pPr>
      <w:pStyle w:val="footer"/>
      <w:bidi w:val="0"/>
      <w:ind w:left="0" w:right="0" w:firstLine="0"/>
      <w:jc w:val="left"/>
      <w:rPr>
        <w:rtl w:val="0"/>
      </w:rPr>
    </w:pPr>
    <w:r>
      <w:rPr>
        <w:sz w:val="22"/>
        <w:szCs w:val="22"/>
        <w:rtl w:val="0"/>
        <w:lang w:val="de-DE"/>
      </w:rPr>
      <w:t>beschlossen:</w:t>
      <w:tab/>
      <w:t>abgelehnt:</w:t>
      <w:tab/>
    </w:r>
    <w:r>
      <w:rPr>
        <w:sz w:val="24"/>
        <w:szCs w:val="24"/>
        <w:rtl w:val="0"/>
        <w:lang w:val="de-DE"/>
      </w:rPr>
      <w:t>ü</w:t>
    </w:r>
    <w:r>
      <w:rPr>
        <w:sz w:val="24"/>
        <w:szCs w:val="24"/>
        <w:rtl w:val="0"/>
        <w:lang w:val="de-DE"/>
      </w:rPr>
      <w:t>berwiesen: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60" w:line="240" w:lineRule="auto"/>
      <w:ind w:left="0" w:right="0" w:firstLine="0"/>
      <w:jc w:val="center"/>
      <w:outlineLvl w:val="3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  <w:style w:type="paragraph" w:styleId="heading 5">
    <w:name w:val="heading 5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1490"/>
      </w:tabs>
      <w:suppressAutoHyphens w:val="0"/>
      <w:bidi w:val="0"/>
      <w:spacing w:before="120" w:after="60" w:line="240" w:lineRule="auto"/>
      <w:ind w:left="0" w:right="0" w:firstLine="0"/>
      <w:jc w:val="left"/>
      <w:outlineLvl w:val="4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vertAlign w:val="baseline"/>
      <w:lang w:val="de-DE"/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120" w:after="0" w:line="240" w:lineRule="auto"/>
      <w:ind w:left="0" w:right="0" w:firstLine="0"/>
      <w:jc w:val="left"/>
      <w:outlineLvl w:val="0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vertAlign w:val="baseline"/>
      <w:lang w:val="de-DE"/>
    </w:rPr>
  </w:style>
  <w:style w:type="paragraph" w:styleId="heading 2">
    <w:name w:val="heading 2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1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vertAlign w:val="baseline"/>
      <w:lang w:val="de-DE"/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