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1"/>
        <w:gridCol w:w="172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rtl w:val="0"/>
          <w:lang w:val="de-DE"/>
        </w:rPr>
        <w:t xml:space="preserve">DIE LINKE 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772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i w:val="0"/>
                <w:iCs w:val="0"/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Wird von Allris automatisch ausgef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llt.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7"/>
        <w:gridCol w:w="1674"/>
        <w:gridCol w:w="1603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/>
            </w:pPr>
            <w:r>
              <w:rPr/>
              <w:fldChar w:fldCharType="begin" w:fldLock="0"/>
            </w:r>
            <w:r>
              <w:rPr/>
              <w:instrText xml:space="preserve"> MERGEFIELD VOVANR </w:instrText>
            </w:r>
            <w:r>
              <w:rPr/>
              <w:fldChar w:fldCharType="separate" w:fldLock="0"/>
            </w:r>
            <w:r>
              <w:rPr>
                <w:rtl w:val="0"/>
                <w:lang w:val="de-DE"/>
              </w:rPr>
              <w:t>Antrag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>Wird von Allris automatisch ausgef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llt.</w:t>
            </w:r>
          </w:p>
        </w:tc>
        <w:tc>
          <w:tcPr>
            <w:tcW w:type="dxa" w:w="1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 w:after="120"/>
              <w:jc w:val="right"/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automatisch erstellt.</w:t>
            </w:r>
            <w:r>
              <w:rPr>
                <w:b w:val="1"/>
                <w:bCs w:val="1"/>
                <w:sz w:val="28"/>
                <w:szCs w:val="28"/>
              </w:rPr>
              <w:fldChar w:fldCharType="begin" w:fldLock="0"/>
            </w:r>
            <w:r>
              <w:rPr>
                <w:b w:val="1"/>
                <w:bCs w:val="1"/>
                <w:sz w:val="28"/>
                <w:szCs w:val="28"/>
              </w:rPr>
              <w:instrText xml:space="preserve"> MERGEFIELD VONAME </w:instrText>
            </w:r>
            <w:r>
              <w:rPr>
                <w:b w:val="1"/>
                <w:bCs w:val="1"/>
                <w:sz w:val="28"/>
                <w:szCs w:val="28"/>
              </w:rPr>
              <w:fldChar w:fldCharType="separate" w:fldLock="0"/>
            </w:r>
            <w:r>
              <w:rPr>
                <w:b w:val="1"/>
                <w:bCs w:val="1"/>
                <w:sz w:val="28"/>
                <w:szCs w:val="28"/>
                <w:rtl w:val="0"/>
              </w:rPr>
              <w:t>/XIX</w:t>
            </w:r>
            <w:r>
              <w:rPr>
                <w:b w:val="1"/>
                <w:bCs w:val="1"/>
                <w:sz w:val="28"/>
                <w:szCs w:val="28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90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B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rohunde auch in Tempelhof-Sch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ö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neberg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</w:pPr>
      <w:bookmarkStart w:name="Beschlußvorschlag" w:id="0"/>
      <w:bookmarkEnd w:id="0"/>
    </w:p>
    <w:p>
      <w:pPr>
        <w:pStyle w:val="header"/>
        <w:tabs>
          <w:tab w:val="right" w:pos="9044"/>
          <w:tab w:val="clear" w:pos="9072"/>
        </w:tabs>
        <w:jc w:val="both"/>
      </w:pPr>
      <w:r>
        <w:rPr>
          <w:rtl w:val="0"/>
          <w:lang w:val="de-DE"/>
        </w:rPr>
        <w:t>Die Bezirksverordnetenversammlung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en:</w:t>
      </w:r>
    </w:p>
    <w:p>
      <w:pPr>
        <w:pStyle w:val="header"/>
        <w:tabs>
          <w:tab w:val="right" w:pos="9044"/>
          <w:tab w:val="clear" w:pos="9072"/>
        </w:tabs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Die BVV m</w:t>
      </w:r>
      <w:r>
        <w:rPr>
          <w:shd w:val="clear" w:color="auto" w:fill="ffffff"/>
          <w:rtl w:val="0"/>
          <w:lang w:val="de-DE"/>
        </w:rPr>
        <w:t>ö</w:t>
      </w:r>
      <w:r>
        <w:rPr>
          <w:shd w:val="clear" w:color="auto" w:fill="ffffff"/>
          <w:rtl w:val="0"/>
          <w:lang w:val="de-DE"/>
        </w:rPr>
        <w:t>ge beschlie</w:t>
      </w:r>
      <w:r>
        <w:rPr>
          <w:shd w:val="clear" w:color="auto" w:fill="ffffff"/>
          <w:rtl w:val="0"/>
          <w:lang w:val="de-DE"/>
        </w:rPr>
        <w:t>ß</w:t>
      </w:r>
      <w:r>
        <w:rPr>
          <w:shd w:val="clear" w:color="auto" w:fill="ffffff"/>
          <w:rtl w:val="0"/>
          <w:lang w:val="de-DE"/>
        </w:rPr>
        <w:t xml:space="preserve">en: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 xml:space="preserve">Das Bezirksamt wird ersucht, im Fall eines positiven Verlaufs des Pilotprojekts </w:t>
      </w:r>
      <w:r>
        <w:rPr>
          <w:shd w:val="clear" w:color="auto" w:fill="ffffff"/>
          <w:rtl w:val="0"/>
          <w:lang w:val="de-DE"/>
        </w:rPr>
        <w:t>„</w:t>
      </w:r>
      <w:r>
        <w:rPr>
          <w:shd w:val="clear" w:color="auto" w:fill="ffffff"/>
          <w:rtl w:val="0"/>
          <w:lang w:val="de-DE"/>
        </w:rPr>
        <w:t>B</w:t>
      </w:r>
      <w:r>
        <w:rPr>
          <w:shd w:val="clear" w:color="auto" w:fill="ffffff"/>
          <w:rtl w:val="0"/>
          <w:lang w:val="de-DE"/>
        </w:rPr>
        <w:t>ü</w:t>
      </w:r>
      <w:r>
        <w:rPr>
          <w:shd w:val="clear" w:color="auto" w:fill="ffffff"/>
          <w:rtl w:val="0"/>
          <w:lang w:val="de-DE"/>
        </w:rPr>
        <w:t>rohunde</w:t>
      </w:r>
      <w:r>
        <w:rPr>
          <w:shd w:val="clear" w:color="auto" w:fill="ffffff"/>
          <w:rtl w:val="0"/>
          <w:lang w:val="de-DE"/>
        </w:rPr>
        <w:t xml:space="preserve">“ </w:t>
      </w:r>
      <w:r>
        <w:rPr>
          <w:shd w:val="clear" w:color="auto" w:fill="ffffff"/>
          <w:rtl w:val="0"/>
          <w:lang w:val="de-DE"/>
        </w:rPr>
        <w:t>gem</w:t>
      </w:r>
      <w:r>
        <w:rPr>
          <w:shd w:val="clear" w:color="auto" w:fill="ffffff"/>
          <w:rtl w:val="0"/>
          <w:lang w:val="de-DE"/>
        </w:rPr>
        <w:t xml:space="preserve">äß </w:t>
      </w:r>
      <w:r>
        <w:rPr>
          <w:shd w:val="clear" w:color="auto" w:fill="ffffff"/>
          <w:rtl w:val="0"/>
          <w:lang w:val="de-DE"/>
        </w:rPr>
        <w:t>den Erw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de-DE"/>
        </w:rPr>
        <w:t>gungen des Bezirksamts Spandau dies auch in Tempelhof-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de-DE"/>
        </w:rPr>
        <w:t>Sch</w:t>
      </w:r>
      <w:r>
        <w:rPr>
          <w:shd w:val="clear" w:color="auto" w:fill="ffffff"/>
          <w:rtl w:val="0"/>
          <w:lang w:val="de-DE"/>
        </w:rPr>
        <w:t>ö</w:t>
      </w:r>
      <w:r>
        <w:rPr>
          <w:shd w:val="clear" w:color="auto" w:fill="ffffff"/>
          <w:rtl w:val="0"/>
          <w:lang w:val="de-DE"/>
        </w:rPr>
        <w:t>neberg umzusetzen.</w:t>
      </w:r>
    </w:p>
    <w:p>
      <w:pPr>
        <w:pStyle w:val="Normal.0"/>
        <w:spacing w:line="276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Begr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ndung: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de-DE"/>
        </w:rPr>
        <w:t>Die Erlaubnis zum Mitf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hren eines Hundes am Arbeitsplatz erfolgt durch den Arbeitgeber im Rahmen des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>Direktionsrechts. Das Bezirksamt Spandau hat mit MzK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vom 8. Februar 2021 (Drs. 1652/XX BVV Spandau) sich entschieden, ein Pilotprojekt </w:t>
      </w:r>
      <w:r>
        <w:rPr>
          <w:rFonts w:ascii="Arial" w:hAnsi="Arial" w:hint="default"/>
          <w:shd w:val="clear" w:color="auto" w:fill="ffffff"/>
          <w:rtl w:val="0"/>
          <w:lang w:val="de-DE"/>
        </w:rPr>
        <w:t>„</w:t>
      </w:r>
      <w:r>
        <w:rPr>
          <w:rFonts w:ascii="Arial" w:hAnsi="Arial"/>
          <w:shd w:val="clear" w:color="auto" w:fill="ffffff"/>
          <w:rtl w:val="0"/>
          <w:lang w:val="de-DE"/>
        </w:rPr>
        <w:t>B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rohunde</w:t>
      </w:r>
      <w:r>
        <w:rPr>
          <w:rFonts w:ascii="Arial" w:hAnsi="Arial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Arial" w:hAnsi="Arial"/>
          <w:shd w:val="clear" w:color="auto" w:fill="ffffff"/>
          <w:rtl w:val="0"/>
          <w:lang w:val="de-DE"/>
        </w:rPr>
        <w:t>f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r seine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>Mitarbeitenden zu starten. Damit soll es Mitarbeitenden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>m</w:t>
      </w:r>
      <w:r>
        <w:rPr>
          <w:rFonts w:ascii="Arial" w:hAnsi="Arial" w:hint="default"/>
          <w:shd w:val="clear" w:color="auto" w:fill="ffffff"/>
          <w:rtl w:val="0"/>
          <w:lang w:val="de-DE"/>
        </w:rPr>
        <w:t>ö</w:t>
      </w:r>
      <w:r>
        <w:rPr>
          <w:rFonts w:ascii="Arial" w:hAnsi="Arial"/>
          <w:shd w:val="clear" w:color="auto" w:fill="ffffff"/>
          <w:rtl w:val="0"/>
          <w:lang w:val="de-DE"/>
        </w:rPr>
        <w:t>glich sein, in R</w:t>
      </w:r>
      <w:r>
        <w:rPr>
          <w:rFonts w:ascii="Arial" w:hAnsi="Arial" w:hint="default"/>
          <w:shd w:val="clear" w:color="auto" w:fill="ffffff"/>
          <w:rtl w:val="0"/>
          <w:lang w:val="de-DE"/>
        </w:rPr>
        <w:t>ä</w:t>
      </w:r>
      <w:r>
        <w:rPr>
          <w:rFonts w:ascii="Arial" w:hAnsi="Arial"/>
          <w:shd w:val="clear" w:color="auto" w:fill="ffffff"/>
          <w:rtl w:val="0"/>
          <w:lang w:val="de-DE"/>
        </w:rPr>
        <w:t>umlichkeiten ohne Publikumsverkehr ihren Hund mitzunehmen. Zu ber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cksichtigen sind dabei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>etwaige Allergien oder Angst vor Hunden. Insgesamt sieht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>das Bezirksamt Spandau dabei zahlreiche positive Effekte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>(u.a. Stressverminderung und positiver Einfluss auf die Gesundheit und Verbesserung der B</w:t>
      </w:r>
      <w:r>
        <w:rPr>
          <w:rFonts w:ascii="Arial" w:hAnsi="Arial" w:hint="default"/>
          <w:shd w:val="clear" w:color="auto" w:fill="ffffff"/>
          <w:rtl w:val="0"/>
          <w:lang w:val="de-DE"/>
        </w:rPr>
        <w:t>ü</w:t>
      </w:r>
      <w:r>
        <w:rPr>
          <w:rFonts w:ascii="Arial" w:hAnsi="Arial"/>
          <w:shd w:val="clear" w:color="auto" w:fill="ffffff"/>
          <w:rtl w:val="0"/>
          <w:lang w:val="de-DE"/>
        </w:rPr>
        <w:t>roatmosph</w:t>
      </w:r>
      <w:r>
        <w:rPr>
          <w:rFonts w:ascii="Arial" w:hAnsi="Arial" w:hint="default"/>
          <w:shd w:val="clear" w:color="auto" w:fill="ffffff"/>
          <w:rtl w:val="0"/>
          <w:lang w:val="de-DE"/>
        </w:rPr>
        <w:t>ä</w:t>
      </w:r>
      <w:r>
        <w:rPr>
          <w:rFonts w:ascii="Arial" w:hAnsi="Arial"/>
          <w:shd w:val="clear" w:color="auto" w:fill="ffffff"/>
          <w:rtl w:val="0"/>
          <w:lang w:val="de-DE"/>
        </w:rPr>
        <w:t>re). Dies kann helfen, das Bezirksamt Tempelhof-Sch</w:t>
      </w:r>
      <w:r>
        <w:rPr>
          <w:rFonts w:ascii="Arial" w:hAnsi="Arial" w:hint="default"/>
          <w:shd w:val="clear" w:color="auto" w:fill="ffffff"/>
          <w:rtl w:val="0"/>
          <w:lang w:val="de-DE"/>
        </w:rPr>
        <w:t>ö</w:t>
      </w:r>
      <w:r>
        <w:rPr>
          <w:rFonts w:ascii="Arial" w:hAnsi="Arial"/>
          <w:shd w:val="clear" w:color="auto" w:fill="ffffff"/>
          <w:rtl w:val="0"/>
          <w:lang w:val="de-DE"/>
        </w:rPr>
        <w:t>neberg zu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hd w:val="clear" w:color="auto" w:fill="ffffff"/>
          <w:rtl w:val="0"/>
          <w:lang w:val="de-DE"/>
        </w:rPr>
        <w:t>einem noch attraktiveren Arbeitgeber zu machen.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Berlin, den </w:t>
      </w:r>
      <w:r>
        <w:rPr>
          <w:rtl w:val="0"/>
          <w:lang w:val="de-DE"/>
        </w:rPr>
        <w:t>15</w:t>
      </w:r>
      <w:r>
        <w:rPr>
          <w:rtl w:val="0"/>
          <w:lang w:val="de-DE"/>
        </w:rPr>
        <w:t>.03.20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1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Frau Wissel, Elisabeth </w:t>
      </w:r>
      <w:r>
        <w:tab/>
        <w:tab/>
        <w:tab/>
      </w:r>
      <w:r>
        <w:rPr>
          <w:rtl w:val="0"/>
          <w:lang w:val="de-DE"/>
        </w:rPr>
        <w:t xml:space="preserve">              Herr Rutsch, Martin 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>Fraktion DIE LINKE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418" w:bottom="1134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  <w:tabs>
        <w:tab w:val="right" w:pos="9044"/>
        <w:tab w:val="clear" w:pos="9072"/>
      </w:tabs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2"/>
        <w:szCs w:val="22"/>
        <w:rtl w:val="0"/>
        <w:lang w:val="de-DE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