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536"/>
          <w:tab w:val="clear" w:pos="9072"/>
        </w:tabs>
      </w:pPr>
    </w:p>
    <w:tbl>
      <w:tblPr>
        <w:tblW w:w="9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41"/>
        <w:gridCol w:w="172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7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Drucksachen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der Bezirksverordnetenversammlung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Tempelhof-Sch</w:t>
            </w:r>
            <w:r>
              <w:rPr>
                <w:b w:val="1"/>
                <w:bCs w:val="1"/>
                <w:rtl w:val="0"/>
                <w:lang w:val="de-DE"/>
              </w:rPr>
              <w:t>ö</w:t>
            </w:r>
            <w:r>
              <w:rPr>
                <w:b w:val="1"/>
                <w:bCs w:val="1"/>
                <w:rtl w:val="0"/>
                <w:lang w:val="de-DE"/>
              </w:rPr>
              <w:t>neberg von Berlin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XX. Wahlperiode</w:t>
            </w:r>
          </w:p>
        </w:tc>
        <w:tc>
          <w:tcPr>
            <w:tcW w:type="dxa" w:w="17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  <w:jc w:val="right"/>
            </w:pPr>
            <w:r>
              <w:rPr>
                <w:sz w:val="16"/>
                <w:szCs w:val="16"/>
              </w:rPr>
              <w:drawing>
                <wp:inline distT="0" distB="0" distL="0" distR="0">
                  <wp:extent cx="838200" cy="1196340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  <w:spacing w:line="276" w:lineRule="auto"/>
        <w:jc w:val="both"/>
      </w:pPr>
      <w:r>
        <w:rPr>
          <w:sz w:val="24"/>
          <w:szCs w:val="24"/>
          <w:rtl w:val="0"/>
          <w:lang w:val="de-DE"/>
        </w:rPr>
        <w:t xml:space="preserve">Ursprung: </w:t>
      </w:r>
      <w:r>
        <w:rPr>
          <w:rtl w:val="0"/>
          <w:lang w:val="de-DE"/>
        </w:rPr>
        <w:t xml:space="preserve">DIE LINKE. 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772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i w:val="0"/>
                <w:iCs w:val="0"/>
                <w:rtl w:val="0"/>
                <w:lang w:val="de-DE"/>
              </w:rPr>
              <w:t>Beratungsfolge: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88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before="0" w:after="0"/>
            </w:pPr>
            <w:r>
              <w:rPr>
                <w:rtl w:val="0"/>
                <w:lang w:val="de-DE"/>
              </w:rPr>
              <w:t>Datum</w:t>
            </w:r>
          </w:p>
        </w:tc>
        <w:tc>
          <w:tcPr>
            <w:tcW w:type="dxa" w:w="772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  <w:spacing w:before="0" w:after="0"/>
            </w:pPr>
            <w:r>
              <w:rPr>
                <w:sz w:val="20"/>
                <w:szCs w:val="20"/>
                <w:rtl w:val="0"/>
                <w:lang w:val="de-DE"/>
              </w:rPr>
              <w:t>Gremium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18"/>
                <w:tab w:val="left" w:pos="2268"/>
              </w:tabs>
            </w:pPr>
            <w:r>
              <w:rPr>
                <w:rtl w:val="0"/>
                <w:lang w:val="de-DE"/>
              </w:rPr>
              <w:t>Wird von Allris automatisch ausgef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llt.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212"/>
            <w:gridSpan w:val="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87"/>
        <w:gridCol w:w="1674"/>
        <w:gridCol w:w="1603"/>
      </w:tblGrid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57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/>
            </w:pPr>
            <w:r>
              <w:rPr/>
              <w:fldChar w:fldCharType="begin" w:fldLock="0"/>
            </w:r>
            <w:r>
              <w:rPr/>
              <w:instrText xml:space="preserve"> MERGEFIELD VOVANR </w:instrText>
            </w:r>
            <w:r>
              <w:rPr/>
              <w:fldChar w:fldCharType="separate" w:fldLock="0"/>
            </w:r>
            <w:r>
              <w:rPr>
                <w:rtl w:val="0"/>
                <w:lang w:val="de-DE"/>
              </w:rPr>
              <w:t>Antrag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de-DE"/>
              </w:rPr>
              <w:t>Wird von Allris automatisch ausgef</w:t>
            </w:r>
            <w:r>
              <w:rPr>
                <w:b w:val="0"/>
                <w:bCs w:val="0"/>
                <w:rtl w:val="0"/>
                <w:lang w:val="de-DE"/>
              </w:rPr>
              <w:t>ü</w:t>
            </w:r>
            <w:r>
              <w:rPr>
                <w:b w:val="0"/>
                <w:bCs w:val="0"/>
                <w:rtl w:val="0"/>
                <w:lang w:val="de-DE"/>
              </w:rPr>
              <w:t>llt.</w:t>
            </w:r>
          </w:p>
        </w:tc>
        <w:tc>
          <w:tcPr>
            <w:tcW w:type="dxa" w:w="1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/>
            </w:pPr>
            <w:r>
              <w:rPr>
                <w:b w:val="1"/>
                <w:bCs w:val="1"/>
                <w:sz w:val="28"/>
                <w:szCs w:val="28"/>
                <w:rtl w:val="0"/>
                <w:lang w:val="de-DE"/>
              </w:rPr>
              <w:t>Drucks. Nr:</w:t>
            </w:r>
            <w:r>
              <w:rPr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1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90"/>
              </w:tabs>
              <w:spacing w:before="120" w:after="120"/>
              <w:jc w:val="right"/>
            </w:pP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automatisch erstellt.</w:t>
            </w:r>
            <w:r>
              <w:rPr>
                <w:b w:val="1"/>
                <w:bCs w:val="1"/>
                <w:sz w:val="28"/>
                <w:szCs w:val="28"/>
              </w:rPr>
              <w:fldChar w:fldCharType="begin" w:fldLock="0"/>
            </w:r>
            <w:r>
              <w:rPr>
                <w:b w:val="1"/>
                <w:bCs w:val="1"/>
                <w:sz w:val="28"/>
                <w:szCs w:val="28"/>
              </w:rPr>
              <w:instrText xml:space="preserve"> MERGEFIELD VONAME </w:instrText>
            </w:r>
            <w:r>
              <w:rPr>
                <w:b w:val="1"/>
                <w:bCs w:val="1"/>
                <w:sz w:val="28"/>
                <w:szCs w:val="28"/>
              </w:rPr>
              <w:fldChar w:fldCharType="separate" w:fldLock="0"/>
            </w:r>
            <w:r>
              <w:rPr>
                <w:b w:val="1"/>
                <w:bCs w:val="1"/>
                <w:sz w:val="28"/>
                <w:szCs w:val="28"/>
                <w:rtl w:val="0"/>
              </w:rPr>
              <w:t>/XIX</w:t>
            </w:r>
            <w:r>
              <w:rPr>
                <w:b w:val="1"/>
                <w:bCs w:val="1"/>
                <w:sz w:val="28"/>
                <w:szCs w:val="28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8"/>
                <w:szCs w:val="28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906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de-DE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Wieder eine Kegelbahn f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r Marienfelde!</w:t>
            </w:r>
          </w:p>
        </w:tc>
      </w:tr>
    </w:tbl>
    <w:p>
      <w:pPr>
        <w:pStyle w:val="header"/>
        <w:widowControl w:val="0"/>
        <w:tabs>
          <w:tab w:val="clear" w:pos="4536"/>
          <w:tab w:val="clear" w:pos="9072"/>
        </w:tabs>
      </w:pPr>
    </w:p>
    <w:p>
      <w:pPr>
        <w:pStyle w:val="header"/>
        <w:tabs>
          <w:tab w:val="clear" w:pos="4536"/>
          <w:tab w:val="clear" w:pos="9072"/>
        </w:tabs>
      </w:pPr>
    </w:p>
    <w:p>
      <w:pPr>
        <w:pStyle w:val="Normal.0"/>
      </w:pPr>
      <w:bookmarkStart w:name="Beschlußvorschlag" w:id="0"/>
      <w:bookmarkEnd w:id="0"/>
    </w:p>
    <w:p>
      <w:pPr>
        <w:pStyle w:val="header"/>
        <w:tabs>
          <w:tab w:val="right" w:pos="9044"/>
          <w:tab w:val="clear" w:pos="9072"/>
        </w:tabs>
      </w:pPr>
      <w:r>
        <w:rPr>
          <w:rtl w:val="0"/>
          <w:lang w:val="de-DE"/>
        </w:rPr>
        <w:t>Die Bezirksverordnetenversammlung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en:</w:t>
      </w:r>
    </w:p>
    <w:p>
      <w:pPr>
        <w:pStyle w:val="header"/>
        <w:tabs>
          <w:tab w:val="right" w:pos="9044"/>
          <w:tab w:val="clear" w:pos="9072"/>
        </w:tabs>
      </w:pPr>
    </w:p>
    <w:p>
      <w:pPr>
        <w:pStyle w:val="Normal.0"/>
      </w:pPr>
      <w:r>
        <w:rPr>
          <w:rtl w:val="0"/>
          <w:lang w:val="de-DE"/>
        </w:rPr>
        <w:t>Die BVV ersucht das Bezirksamt, sich bei den zust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ndigen Stellen daf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einzusetzen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dass wieder eine Kegelbahn in Marienfelde entsteht. Ein Treffpunkt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sportliches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Zusammenkommen auch abends und am Wochenende soll vor Ort bereitstehen.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>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ndung:</w:t>
      </w:r>
    </w:p>
    <w:p>
      <w:pPr>
        <w:pStyle w:val="Normal.0"/>
        <w:spacing w:line="276" w:lineRule="auto"/>
        <w:jc w:val="both"/>
      </w:pPr>
    </w:p>
    <w:p>
      <w:pPr>
        <w:pStyle w:val="Normal.0"/>
      </w:pPr>
      <w:r>
        <w:rPr>
          <w:rtl w:val="0"/>
          <w:lang w:val="de-DE"/>
        </w:rPr>
        <w:t>Das Kegel-Zentrum 2000 war ein wichtiger Anlaufpunkt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Marienfelder Nachbar:innen und alle Kegel-Begeisterten. In der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he befinden sich wenig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 dem Sport weiter nachzugehen. Das Bezirksamt soll deshalb beispielsweise mit der degewo kooperieren wieder die sportlich, gesellige Bet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 vor Ort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zu machen.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de-DE"/>
        </w:rPr>
        <w:t xml:space="preserve">Berlin, den </w:t>
      </w:r>
      <w:r>
        <w:rPr>
          <w:rtl w:val="0"/>
          <w:lang w:val="de-DE"/>
        </w:rPr>
        <w:t>10</w:t>
      </w:r>
      <w:r>
        <w:rPr>
          <w:rtl w:val="0"/>
          <w:lang w:val="de-DE"/>
        </w:rPr>
        <w:t>.0</w:t>
      </w:r>
      <w:r>
        <w:rPr>
          <w:rtl w:val="0"/>
          <w:lang w:val="de-DE"/>
        </w:rPr>
        <w:t>5</w:t>
      </w:r>
      <w:r>
        <w:rPr>
          <w:rtl w:val="0"/>
          <w:lang w:val="de-DE"/>
        </w:rPr>
        <w:t>.20</w:t>
      </w:r>
      <w:r>
        <w:rPr>
          <w:rtl w:val="0"/>
          <w:lang w:val="de-DE"/>
        </w:rPr>
        <w:t>2</w:t>
      </w:r>
      <w:r>
        <w:rPr>
          <w:rtl w:val="0"/>
          <w:lang w:val="de-DE"/>
        </w:rPr>
        <w:t>1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Frau Wissel, Elisabeth</w:t>
      </w: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de-DE"/>
        </w:rPr>
        <w:t>Frau Marg, Katharina</w:t>
      </w:r>
    </w:p>
    <w:p>
      <w:pPr>
        <w:pStyle w:val="Normal.0"/>
        <w:spacing w:line="276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de-DE"/>
        </w:rPr>
        <w:t xml:space="preserve">Fraktion DIE LINKE.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1418" w:bottom="1134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sz w:val="16"/>
        <w:szCs w:val="16"/>
      </w:rPr>
    </w:pPr>
    <w:r>
      <w:rPr>
        <w:sz w:val="16"/>
        <w:szCs w:val="16"/>
      </w:rPr>
      <w:tab/>
      <w:tab/>
    </w:r>
  </w:p>
  <w:p>
    <w:pPr>
      <w:pStyle w:val="footer"/>
      <w:tabs>
        <w:tab w:val="right" w:pos="9044"/>
        <w:tab w:val="clear" w:pos="9072"/>
      </w:tabs>
    </w:pPr>
    <w:r>
      <w:rPr>
        <w:sz w:val="16"/>
        <w:szCs w:val="16"/>
        <w:rtl w:val="0"/>
      </w:rPr>
      <w:tab/>
      <w:tab/>
      <w:t xml:space="preserve">Seite: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de-DE"/>
      </w:rPr>
      <w:t>/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</w:r>
    <w:r>
      <w:rPr>
        <w:sz w:val="16"/>
        <w:szCs w:val="16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sz w:val="24"/>
        <w:szCs w:val="24"/>
        <w:rtl w:val="0"/>
      </w:rPr>
    </w:pPr>
    <w:r>
      <w:rPr>
        <w:sz w:val="24"/>
        <w:szCs w:val="24"/>
        <w:rtl w:val="0"/>
        <w:lang w:val="de-DE"/>
      </w:rPr>
      <w:t>Abstimmungsergebnis:</w:t>
    </w:r>
  </w:p>
  <w:p>
    <w:pPr>
      <w:pStyle w:val="footer"/>
      <w:rPr>
        <w:sz w:val="16"/>
        <w:szCs w:val="16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sz w:val="22"/>
        <w:szCs w:val="22"/>
        <w:rtl w:val="0"/>
        <w:lang w:val="de-DE"/>
      </w:rPr>
      <w:t>beschlossen:</w:t>
      <w:tab/>
      <w:t>abgelehnt:</w:t>
      <w:tab/>
    </w:r>
    <w:r>
      <w:rPr>
        <w:sz w:val="24"/>
        <w:szCs w:val="24"/>
        <w:rtl w:val="0"/>
        <w:lang w:val="de-DE"/>
      </w:rPr>
      <w:t>ü</w:t>
    </w:r>
    <w:r>
      <w:rPr>
        <w:sz w:val="24"/>
        <w:szCs w:val="24"/>
        <w:rtl w:val="0"/>
        <w:lang w:val="de-DE"/>
      </w:rPr>
      <w:t>berwiesen: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490"/>
      </w:tabs>
      <w:suppressAutoHyphens w:val="0"/>
      <w:bidi w:val="0"/>
      <w:spacing w:before="120" w:after="60" w:line="240" w:lineRule="auto"/>
      <w:ind w:left="0" w:right="0" w:firstLine="0"/>
      <w:jc w:val="left"/>
      <w:outlineLvl w:val="4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