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>DIE LINKE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Schulmittagessen f</w:t>
            </w:r>
            <w:r>
              <w:rPr>
                <w:b w:val="1"/>
                <w:bCs w:val="1"/>
                <w:sz w:val="26"/>
                <w:szCs w:val="26"/>
                <w:rtl w:val="0"/>
              </w:rPr>
              <w:t>ü</w:t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r diejenigen erm</w:t>
            </w:r>
            <w:r>
              <w:rPr>
                <w:b w:val="1"/>
                <w:bCs w:val="1"/>
                <w:sz w:val="26"/>
                <w:szCs w:val="2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glichen, die zur Mittagszeit nicht in der Schule sind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Die BVV ersucht das Bezirksamt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ein kostenloses Mittagessen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lerinnen und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bereit zu halten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wird das Bezirksamt die Eltern der Kinder informieren und den Bedarf bei ihnen abfragen, der dann an der Schule anzumelden ist.</w:t>
      </w:r>
    </w:p>
    <w:p>
      <w:pPr>
        <w:pStyle w:val="Normal.0"/>
        <w:spacing w:after="160" w:line="256" w:lineRule="auto"/>
      </w:pPr>
      <w:r>
        <w:rPr>
          <w:rtl w:val="0"/>
          <w:lang w:val="de-DE"/>
        </w:rPr>
        <w:t>Dies soll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Kinder gelten, die vom Unterrichtsausfall betroffen sind </w:t>
      </w:r>
      <w:r>
        <w:rPr>
          <w:rtl w:val="0"/>
          <w:lang w:val="de-DE"/>
        </w:rPr>
        <w:t xml:space="preserve">und </w:t>
      </w:r>
      <w:r>
        <w:rPr>
          <w:rtl w:val="0"/>
          <w:lang w:val="de-DE"/>
        </w:rPr>
        <w:t>denen das Mittagessen im mitgebrachten Beh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ausgegeben werden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nnte.</w:t>
      </w:r>
    </w:p>
    <w:p>
      <w:pPr>
        <w:pStyle w:val="Normal.0"/>
        <w:spacing w:after="160" w:line="256" w:lineRule="auto"/>
      </w:pPr>
    </w:p>
    <w:p>
      <w:pPr>
        <w:pStyle w:val="Normal.0"/>
        <w:spacing w:after="160" w:line="256" w:lineRule="auto"/>
      </w:pPr>
      <w:r>
        <w:rPr>
          <w:rtl w:val="0"/>
          <w:lang w:val="de-DE"/>
        </w:rPr>
        <w:t>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spacing w:after="160" w:line="256" w:lineRule="auto"/>
      </w:pPr>
      <w:r>
        <w:rPr>
          <w:rtl w:val="0"/>
          <w:lang w:val="de-DE"/>
        </w:rPr>
        <w:t>Das Schulmittagessen steht allen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lerinnen und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und muss auch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Corona-Krise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bereit stehen. Gerade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rmere Familien, ist es finanziell belastend, wenn ihre Kinder aufgrund von Unterrichts-Ausfall oder ung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nstigem Wechselunterricht kein Essen angeboten wird.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19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4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Frau Wissel, Elisabeth 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de-DE"/>
        </w:rPr>
        <w:t xml:space="preserve">                         </w:t>
      </w:r>
      <w:r>
        <w:rPr>
          <w:b w:val="1"/>
          <w:bCs w:val="1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276" w:lineRule="auto"/>
        <w:jc w:val="both"/>
      </w:pPr>
      <w:r>
        <w:rPr>
          <w:b w:val="1"/>
          <w:bCs w:val="1"/>
          <w:rtl w:val="0"/>
          <w:lang w:val="de-DE"/>
        </w:rPr>
        <w:t>Fraktion</w:t>
      </w:r>
      <w:r>
        <w:rPr>
          <w:b w:val="1"/>
          <w:bCs w:val="1"/>
          <w:rtl w:val="0"/>
          <w:lang w:val="de-DE"/>
        </w:rPr>
        <w:t xml:space="preserve"> DIE LINKE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2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