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er"/>
        <w:tabs>
          <w:tab w:val="clear" w:pos="4536"/>
          <w:tab w:val="clear" w:pos="9072"/>
        </w:tabs>
      </w:pPr>
    </w:p>
    <w:tbl>
      <w:tblPr>
        <w:tblW w:w="916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441"/>
        <w:gridCol w:w="1726"/>
      </w:tblGrid>
      <w:tr>
        <w:tblPrEx>
          <w:shd w:val="clear" w:color="auto" w:fill="ced7e7"/>
        </w:tblPrEx>
        <w:trPr>
          <w:trHeight w:val="1918" w:hRule="atLeast"/>
        </w:trPr>
        <w:tc>
          <w:tcPr>
            <w:tcW w:type="dxa" w:w="74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536"/>
                <w:tab w:val="clear" w:pos="9072"/>
              </w:tabs>
              <w:jc w:val="both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  <w:lang w:val="de-DE"/>
              </w:rPr>
              <w:t>Drucksachen</w:t>
            </w:r>
          </w:p>
          <w:p>
            <w:pPr>
              <w:pStyle w:val="header"/>
              <w:tabs>
                <w:tab w:val="clear" w:pos="4536"/>
                <w:tab w:val="clear" w:pos="9072"/>
              </w:tabs>
              <w:bidi w:val="0"/>
              <w:ind w:left="0" w:right="0" w:firstLine="0"/>
              <w:jc w:val="both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  <w:lang w:val="de-DE"/>
              </w:rPr>
              <w:t xml:space="preserve">der Bezirksverordnetenversammlung </w:t>
            </w:r>
          </w:p>
          <w:p>
            <w:pPr>
              <w:pStyle w:val="header"/>
              <w:tabs>
                <w:tab w:val="clear" w:pos="4536"/>
                <w:tab w:val="clear" w:pos="9072"/>
              </w:tabs>
              <w:bidi w:val="0"/>
              <w:ind w:left="0" w:right="0" w:firstLine="0"/>
              <w:jc w:val="both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  <w:lang w:val="de-DE"/>
              </w:rPr>
              <w:t>Tempelhof-Sch</w:t>
            </w:r>
            <w:r>
              <w:rPr>
                <w:b w:val="1"/>
                <w:bCs w:val="1"/>
                <w:rtl w:val="0"/>
                <w:lang w:val="de-DE"/>
              </w:rPr>
              <w:t>ö</w:t>
            </w:r>
            <w:r>
              <w:rPr>
                <w:b w:val="1"/>
                <w:bCs w:val="1"/>
                <w:rtl w:val="0"/>
                <w:lang w:val="de-DE"/>
              </w:rPr>
              <w:t>neberg von Berlin</w:t>
            </w:r>
          </w:p>
          <w:p>
            <w:pPr>
              <w:pStyle w:val="header"/>
              <w:tabs>
                <w:tab w:val="clear" w:pos="4536"/>
                <w:tab w:val="clear" w:pos="9072"/>
              </w:tabs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b w:val="1"/>
                <w:bCs w:val="1"/>
                <w:rtl w:val="0"/>
                <w:lang w:val="de-DE"/>
              </w:rPr>
              <w:t>XX. Wahlperiode</w:t>
            </w:r>
          </w:p>
        </w:tc>
        <w:tc>
          <w:tcPr>
            <w:tcW w:type="dxa" w:w="17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536"/>
                <w:tab w:val="clear" w:pos="9072"/>
              </w:tabs>
              <w:jc w:val="right"/>
            </w:pPr>
            <w:r>
              <w:rPr>
                <w:sz w:val="16"/>
                <w:szCs w:val="16"/>
              </w:rPr>
              <w:drawing>
                <wp:inline distT="0" distB="0" distL="0" distR="0">
                  <wp:extent cx="838200" cy="1196340"/>
                  <wp:effectExtent l="0" t="0" r="0" b="0"/>
                  <wp:docPr id="1073741825" name="officeArt object" descr="030327 Wappen_neu_200x2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030327 Wappen_neu_200x285" descr="030327 Wappen_neu_200x285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119634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er"/>
        <w:widowControl w:val="0"/>
        <w:tabs>
          <w:tab w:val="clear" w:pos="4536"/>
          <w:tab w:val="clear" w:pos="9072"/>
        </w:tabs>
      </w:pPr>
    </w:p>
    <w:p>
      <w:pPr>
        <w:pStyle w:val="header"/>
        <w:tabs>
          <w:tab w:val="clear" w:pos="4536"/>
          <w:tab w:val="clear" w:pos="9072"/>
        </w:tabs>
      </w:pPr>
    </w:p>
    <w:p>
      <w:pPr>
        <w:pStyle w:val="Normal.0"/>
        <w:spacing w:line="276" w:lineRule="auto"/>
        <w:jc w:val="both"/>
      </w:pPr>
      <w:r>
        <w:rPr>
          <w:sz w:val="24"/>
          <w:szCs w:val="24"/>
          <w:rtl w:val="0"/>
          <w:lang w:val="de-DE"/>
        </w:rPr>
        <w:t xml:space="preserve">Ursprung: </w:t>
      </w:r>
      <w:r>
        <w:rPr>
          <w:rtl w:val="0"/>
          <w:lang w:val="de-DE"/>
        </w:rPr>
        <w:t>DIE LINKE</w:t>
      </w:r>
    </w:p>
    <w:tbl>
      <w:tblPr>
        <w:tblW w:w="921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488"/>
        <w:gridCol w:w="7724"/>
      </w:tblGrid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9212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nil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536"/>
                <w:tab w:val="clear" w:pos="9072"/>
              </w:tabs>
            </w:pPr>
            <w:r>
              <w:rPr>
                <w:i w:val="0"/>
                <w:iCs w:val="0"/>
                <w:rtl w:val="0"/>
                <w:lang w:val="de-DE"/>
              </w:rPr>
              <w:t>Beratungsfolge: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1488"/>
            <w:tcBorders>
              <w:top w:val="nil"/>
              <w:left w:val="single" w:color="000000" w:sz="6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4"/>
              <w:spacing w:before="0" w:after="0"/>
            </w:pPr>
            <w:r>
              <w:rPr>
                <w:rtl w:val="0"/>
                <w:lang w:val="de-DE"/>
              </w:rPr>
              <w:t>Datum</w:t>
            </w:r>
          </w:p>
        </w:tc>
        <w:tc>
          <w:tcPr>
            <w:tcW w:type="dxa" w:w="7724"/>
            <w:tcBorders>
              <w:top w:val="nil"/>
              <w:left w:val="nil"/>
              <w:bottom w:val="nil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5"/>
              <w:spacing w:before="0" w:after="0"/>
            </w:pPr>
            <w:r>
              <w:rPr>
                <w:sz w:val="20"/>
                <w:szCs w:val="20"/>
                <w:rtl w:val="0"/>
                <w:lang w:val="de-DE"/>
              </w:rPr>
              <w:t>Gremium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9212"/>
            <w:gridSpan w:val="2"/>
            <w:tcBorders>
              <w:top w:val="nil"/>
              <w:left w:val="single" w:color="000000" w:sz="6" w:space="0" w:shadow="0" w:frame="0"/>
              <w:bottom w:val="nil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18"/>
                <w:tab w:val="left" w:pos="2268"/>
              </w:tabs>
            </w:pPr>
            <w:r>
              <w:rPr>
                <w:rtl w:val="0"/>
                <w:lang w:val="de-DE"/>
              </w:rPr>
              <w:t>Wird von Allris automatisch ausgef</w:t>
            </w:r>
            <w:r>
              <w:rPr>
                <w:rtl w:val="0"/>
                <w:lang w:val="de-DE"/>
              </w:rPr>
              <w:t>ü</w:t>
            </w:r>
            <w:r>
              <w:rPr>
                <w:rtl w:val="0"/>
                <w:lang w:val="de-DE"/>
              </w:rPr>
              <w:t>llt.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9212"/>
            <w:gridSpan w:val="2"/>
            <w:tcBorders>
              <w:top w:val="nil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</w:pPr>
    </w:p>
    <w:p>
      <w:pPr>
        <w:pStyle w:val="header"/>
        <w:tabs>
          <w:tab w:val="clear" w:pos="4536"/>
          <w:tab w:val="clear" w:pos="9072"/>
        </w:tabs>
      </w:pPr>
    </w:p>
    <w:p>
      <w:pPr>
        <w:pStyle w:val="header"/>
        <w:tabs>
          <w:tab w:val="clear" w:pos="4536"/>
          <w:tab w:val="clear" w:pos="9072"/>
        </w:tabs>
      </w:pPr>
    </w:p>
    <w:tbl>
      <w:tblPr>
        <w:tblW w:w="906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787"/>
        <w:gridCol w:w="1674"/>
        <w:gridCol w:w="1603"/>
      </w:tblGrid>
      <w:tr>
        <w:tblPrEx>
          <w:shd w:val="clear" w:color="auto" w:fill="ced7e7"/>
        </w:tblPrEx>
        <w:trPr>
          <w:trHeight w:val="971" w:hRule="atLeast"/>
        </w:trPr>
        <w:tc>
          <w:tcPr>
            <w:tcW w:type="dxa" w:w="578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1"/>
              <w:rPr/>
            </w:pPr>
            <w:r>
              <w:rPr/>
              <w:fldChar w:fldCharType="begin" w:fldLock="0"/>
            </w:r>
            <w:r>
              <w:rPr/>
              <w:instrText xml:space="preserve"> MERGEFIELD VOVANR </w:instrText>
            </w:r>
            <w:r>
              <w:rPr/>
              <w:fldChar w:fldCharType="separate" w:fldLock="0"/>
            </w:r>
            <w:r>
              <w:rPr>
                <w:rtl w:val="0"/>
                <w:lang w:val="de-DE"/>
              </w:rPr>
              <w:t>Antrag</w:t>
            </w:r>
            <w:r>
              <w:rPr/>
              <w:fldChar w:fldCharType="end" w:fldLock="0"/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rtl w:val="0"/>
                <w:lang w:val="de-DE"/>
              </w:rPr>
              <w:t>Wird von Allris automatisch ausgef</w:t>
            </w:r>
            <w:r>
              <w:rPr>
                <w:b w:val="0"/>
                <w:bCs w:val="0"/>
                <w:rtl w:val="0"/>
                <w:lang w:val="de-DE"/>
              </w:rPr>
              <w:t>ü</w:t>
            </w:r>
            <w:r>
              <w:rPr>
                <w:b w:val="0"/>
                <w:bCs w:val="0"/>
                <w:rtl w:val="0"/>
                <w:lang w:val="de-DE"/>
              </w:rPr>
              <w:t>llt.</w:t>
            </w:r>
          </w:p>
        </w:tc>
        <w:tc>
          <w:tcPr>
            <w:tcW w:type="dxa" w:w="16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90"/>
              </w:tabs>
              <w:spacing w:before="120"/>
            </w:pPr>
            <w:r>
              <w:rPr>
                <w:b w:val="1"/>
                <w:bCs w:val="1"/>
                <w:sz w:val="28"/>
                <w:szCs w:val="28"/>
                <w:rtl w:val="0"/>
                <w:lang w:val="de-DE"/>
              </w:rPr>
              <w:t>Drucks. Nr:</w:t>
            </w:r>
            <w:r>
              <w:rPr>
                <w:b w:val="1"/>
                <w:bCs w:val="1"/>
                <w:sz w:val="28"/>
                <w:szCs w:val="28"/>
              </w:rPr>
            </w:r>
          </w:p>
        </w:tc>
        <w:tc>
          <w:tcPr>
            <w:tcW w:type="dxa" w:w="16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90"/>
              </w:tabs>
              <w:spacing w:before="120" w:after="120"/>
              <w:jc w:val="right"/>
            </w:pPr>
            <w:r>
              <w:rPr>
                <w:b w:val="0"/>
                <w:bCs w:val="0"/>
                <w:sz w:val="22"/>
                <w:szCs w:val="22"/>
                <w:rtl w:val="0"/>
                <w:lang w:val="de-DE"/>
              </w:rPr>
              <w:t>automatisch erstellt.</w:t>
            </w:r>
            <w:r>
              <w:rPr>
                <w:b w:val="1"/>
                <w:bCs w:val="1"/>
                <w:sz w:val="28"/>
                <w:szCs w:val="28"/>
              </w:rPr>
              <w:fldChar w:fldCharType="begin" w:fldLock="0"/>
            </w:r>
            <w:r>
              <w:rPr>
                <w:b w:val="1"/>
                <w:bCs w:val="1"/>
                <w:sz w:val="28"/>
                <w:szCs w:val="28"/>
              </w:rPr>
              <w:instrText xml:space="preserve"> MERGEFIELD VONAME </w:instrText>
            </w:r>
            <w:r>
              <w:rPr>
                <w:b w:val="1"/>
                <w:bCs w:val="1"/>
                <w:sz w:val="28"/>
                <w:szCs w:val="28"/>
              </w:rPr>
              <w:fldChar w:fldCharType="separate" w:fldLock="0"/>
            </w:r>
            <w:r>
              <w:rPr>
                <w:b w:val="1"/>
                <w:bCs w:val="1"/>
                <w:sz w:val="28"/>
                <w:szCs w:val="28"/>
                <w:rtl w:val="0"/>
              </w:rPr>
              <w:t>/XIX</w:t>
            </w:r>
            <w:r>
              <w:rPr>
                <w:b w:val="1"/>
                <w:bCs w:val="1"/>
                <w:sz w:val="28"/>
                <w:szCs w:val="28"/>
              </w:rPr>
              <w:fldChar w:fldCharType="end" w:fldLock="0"/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8"/>
                <w:szCs w:val="28"/>
                <w:lang w:val="de-DE"/>
              </w:rPr>
              <w:br w:type="textWrapping"/>
            </w:r>
          </w:p>
        </w:tc>
      </w:tr>
      <w:tr>
        <w:tblPrEx>
          <w:shd w:val="clear" w:color="auto" w:fill="ced7e7"/>
        </w:tblPrEx>
        <w:trPr>
          <w:trHeight w:val="755" w:hRule="atLeast"/>
        </w:trPr>
        <w:tc>
          <w:tcPr>
            <w:tcW w:type="dxa" w:w="9064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4"/>
                <w:szCs w:val="24"/>
                <w:lang w:val="de-DE"/>
              </w:rPr>
              <w:br w:type="textWrapping"/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>Kommunen f</w:t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>ü</w:t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>r ein starkes Lieferkettengesetz</w:t>
            </w:r>
            <w:r>
              <w:rPr>
                <w:b w:val="1"/>
                <w:bCs w:val="1"/>
                <w:sz w:val="24"/>
                <w:szCs w:val="24"/>
              </w:rPr>
            </w:r>
          </w:p>
        </w:tc>
      </w:tr>
    </w:tbl>
    <w:p>
      <w:pPr>
        <w:pStyle w:val="header"/>
        <w:widowControl w:val="0"/>
        <w:tabs>
          <w:tab w:val="clear" w:pos="4536"/>
          <w:tab w:val="clear" w:pos="9072"/>
        </w:tabs>
      </w:pPr>
    </w:p>
    <w:p>
      <w:pPr>
        <w:pStyle w:val="header"/>
        <w:tabs>
          <w:tab w:val="clear" w:pos="4536"/>
          <w:tab w:val="clear" w:pos="9072"/>
        </w:tabs>
      </w:pPr>
    </w:p>
    <w:p>
      <w:pPr>
        <w:pStyle w:val="Normal.0"/>
      </w:pPr>
      <w:bookmarkStart w:name="Beschlußvorschlag" w:id="0"/>
      <w:bookmarkEnd w:id="0"/>
    </w:p>
    <w:p>
      <w:pPr>
        <w:pStyle w:val="header"/>
        <w:tabs>
          <w:tab w:val="right" w:pos="9044"/>
          <w:tab w:val="clear" w:pos="9072"/>
        </w:tabs>
      </w:pPr>
      <w:r>
        <w:rPr>
          <w:rtl w:val="0"/>
          <w:lang w:val="de-DE"/>
        </w:rPr>
        <w:t>Die Bezirksverordnetenversammlung m</w:t>
      </w:r>
      <w:r>
        <w:rPr>
          <w:rtl w:val="0"/>
          <w:lang w:val="de-DE"/>
        </w:rPr>
        <w:t>ö</w:t>
      </w:r>
      <w:r>
        <w:rPr>
          <w:rtl w:val="0"/>
          <w:lang w:val="de-DE"/>
        </w:rPr>
        <w:t>ge beschlie</w:t>
      </w:r>
      <w:r>
        <w:rPr>
          <w:rtl w:val="0"/>
          <w:lang w:val="de-DE"/>
        </w:rPr>
        <w:t>ß</w:t>
      </w:r>
      <w:r>
        <w:rPr>
          <w:rtl w:val="0"/>
          <w:lang w:val="de-DE"/>
        </w:rPr>
        <w:t>en:</w:t>
      </w:r>
    </w:p>
    <w:p>
      <w:pPr>
        <w:pStyle w:val="header"/>
        <w:tabs>
          <w:tab w:val="right" w:pos="9044"/>
          <w:tab w:val="clear" w:pos="9072"/>
        </w:tabs>
      </w:pPr>
    </w:p>
    <w:p>
      <w:pPr>
        <w:pStyle w:val="Normal.0"/>
        <w:spacing w:line="276" w:lineRule="auto"/>
        <w:jc w:val="both"/>
      </w:pPr>
      <w:r>
        <w:rPr>
          <w:rtl w:val="0"/>
          <w:lang w:val="de-DE"/>
        </w:rPr>
        <w:t xml:space="preserve">Das Bezirksamt wird ersucht, die Resolution </w:t>
      </w:r>
      <w:r>
        <w:rPr>
          <w:rtl w:val="0"/>
          <w:lang w:val="de-DE"/>
        </w:rPr>
        <w:t>„</w:t>
      </w:r>
      <w:r>
        <w:rPr>
          <w:rtl w:val="0"/>
          <w:lang w:val="de-DE"/>
        </w:rPr>
        <w:t>Kommunen f</w:t>
      </w:r>
      <w:r>
        <w:rPr>
          <w:rtl w:val="0"/>
          <w:lang w:val="de-DE"/>
        </w:rPr>
        <w:t>ü</w:t>
      </w:r>
      <w:r>
        <w:rPr>
          <w:rtl w:val="0"/>
          <w:lang w:val="de-DE"/>
        </w:rPr>
        <w:t>r ein starkes Lieferkettengesetz in Deutschland</w:t>
      </w:r>
      <w:r>
        <w:rPr>
          <w:rtl w:val="0"/>
          <w:lang w:val="de-DE"/>
        </w:rPr>
        <w:t xml:space="preserve">“ </w:t>
      </w:r>
      <w:r>
        <w:rPr>
          <w:rtl w:val="0"/>
          <w:lang w:val="de-DE"/>
        </w:rPr>
        <w:t>mitzuzeichnen.</w:t>
      </w: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atLeast"/>
        <w:jc w:val="both"/>
        <w:rPr>
          <w:u w:val="single"/>
          <w:shd w:val="clear" w:color="auto" w:fill="ffffff"/>
        </w:rPr>
      </w:pPr>
      <w:r>
        <w:rPr>
          <w:u w:val="none"/>
          <w:shd w:val="clear" w:color="auto" w:fill="ffffff"/>
          <w:rtl w:val="0"/>
          <w:lang w:val="de-DE"/>
        </w:rPr>
        <w:t>Begr</w:t>
      </w:r>
      <w:r>
        <w:rPr>
          <w:u w:val="none"/>
          <w:shd w:val="clear" w:color="auto" w:fill="ffffff"/>
          <w:rtl w:val="0"/>
        </w:rPr>
        <w:t>ü</w:t>
      </w:r>
      <w:r>
        <w:rPr>
          <w:u w:val="none"/>
          <w:shd w:val="clear" w:color="auto" w:fill="ffffff"/>
          <w:rtl w:val="0"/>
          <w:lang w:val="de-DE"/>
        </w:rPr>
        <w:t>ndung: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u w:val="none"/>
          <w:shd w:val="clear" w:color="auto" w:fill="ffffff"/>
        </w:rPr>
        <w:br w:type="textWrapping"/>
      </w:r>
      <w:r>
        <w:rPr>
          <w:u w:val="none"/>
          <w:shd w:val="clear" w:color="auto" w:fill="ffffff"/>
          <w:rtl w:val="0"/>
          <w:lang w:val="de-DE"/>
        </w:rPr>
        <w:t>„</w:t>
      </w:r>
      <w:r>
        <w:rPr>
          <w:u w:val="none"/>
          <w:shd w:val="clear" w:color="auto" w:fill="ffffff"/>
          <w:rtl w:val="0"/>
          <w:lang w:val="de-DE"/>
        </w:rPr>
        <w:t>Kommunen f</w:t>
      </w:r>
      <w:r>
        <w:rPr>
          <w:u w:val="none"/>
          <w:shd w:val="clear" w:color="auto" w:fill="ffffff"/>
          <w:rtl w:val="0"/>
          <w:lang w:val="de-DE"/>
        </w:rPr>
        <w:t>ü</w:t>
      </w:r>
      <w:r>
        <w:rPr>
          <w:u w:val="none"/>
          <w:shd w:val="clear" w:color="auto" w:fill="ffffff"/>
          <w:rtl w:val="0"/>
          <w:lang w:val="de-DE"/>
        </w:rPr>
        <w:t>r ein starkes Lieferkettengesetz in Deutschland</w:t>
      </w:r>
      <w:r>
        <w:rPr>
          <w:u w:val="none"/>
          <w:shd w:val="clear" w:color="auto" w:fill="ffffff"/>
          <w:rtl w:val="0"/>
          <w:lang w:val="de-DE"/>
        </w:rPr>
        <w:t xml:space="preserve">“ </w:t>
      </w:r>
      <w:r>
        <w:rPr>
          <w:u w:val="none"/>
          <w:shd w:val="clear" w:color="auto" w:fill="ffffff"/>
          <w:rtl w:val="0"/>
          <w:lang w:val="de-DE"/>
        </w:rPr>
        <w:t>setzen sich f</w:t>
      </w:r>
      <w:r>
        <w:rPr>
          <w:u w:val="none"/>
          <w:shd w:val="clear" w:color="auto" w:fill="ffffff"/>
          <w:rtl w:val="0"/>
          <w:lang w:val="de-DE"/>
        </w:rPr>
        <w:t>ü</w:t>
      </w:r>
      <w:r>
        <w:rPr>
          <w:u w:val="none"/>
          <w:shd w:val="clear" w:color="auto" w:fill="ffffff"/>
          <w:rtl w:val="0"/>
          <w:lang w:val="de-DE"/>
        </w:rPr>
        <w:t xml:space="preserve">r </w:t>
      </w:r>
      <w:r>
        <w:rPr>
          <w:u w:val="none"/>
          <w:shd w:val="clear" w:color="auto" w:fill="ffffff"/>
          <w:rtl w:val="0"/>
          <w:lang w:val="fr-FR"/>
        </w:rPr>
        <w:t xml:space="preserve">faire, </w:t>
      </w:r>
      <w:r>
        <w:rPr>
          <w:u w:val="none"/>
          <w:shd w:val="clear" w:color="auto" w:fill="ffffff"/>
          <w:rtl w:val="0"/>
          <w:lang w:val="sv-SE"/>
        </w:rPr>
        <w:t>ö</w:t>
      </w:r>
      <w:r>
        <w:rPr>
          <w:u w:val="none"/>
          <w:shd w:val="clear" w:color="auto" w:fill="ffffff"/>
          <w:rtl w:val="0"/>
          <w:lang w:val="de-DE"/>
        </w:rPr>
        <w:t xml:space="preserve">kologische und menschenrechtskonforme Standards im </w:t>
      </w:r>
      <w:r>
        <w:rPr>
          <w:u w:val="none"/>
          <w:shd w:val="clear" w:color="auto" w:fill="ffffff"/>
          <w:rtl w:val="0"/>
          <w:lang w:val="sv-SE"/>
        </w:rPr>
        <w:t>ö</w:t>
      </w:r>
      <w:r>
        <w:rPr>
          <w:u w:val="none"/>
          <w:shd w:val="clear" w:color="auto" w:fill="ffffff"/>
          <w:rtl w:val="0"/>
          <w:lang w:val="de-DE"/>
        </w:rPr>
        <w:t>ffentlichen Einkauf</w:t>
      </w:r>
      <w:r>
        <w:rPr>
          <w:u w:val="none"/>
          <w:shd w:val="clear" w:color="auto" w:fill="ffffff"/>
          <w:rtl w:val="0"/>
          <w:lang w:val="de-DE"/>
        </w:rPr>
        <w:t xml:space="preserve">“ </w:t>
      </w:r>
      <w:r>
        <w:rPr>
          <w:u w:val="none"/>
          <w:shd w:val="clear" w:color="auto" w:fill="ffffff"/>
          <w:rtl w:val="0"/>
          <w:lang w:val="de-DE"/>
        </w:rPr>
        <w:t>ein. Die Resolution fordert die Einf</w:t>
      </w:r>
      <w:r>
        <w:rPr>
          <w:u w:val="none"/>
          <w:shd w:val="clear" w:color="auto" w:fill="ffffff"/>
          <w:rtl w:val="0"/>
          <w:lang w:val="de-DE"/>
        </w:rPr>
        <w:t>ü</w:t>
      </w:r>
      <w:r>
        <w:rPr>
          <w:u w:val="none"/>
          <w:shd w:val="clear" w:color="auto" w:fill="ffffff"/>
          <w:rtl w:val="0"/>
          <w:lang w:val="de-DE"/>
        </w:rPr>
        <w:t xml:space="preserve">hrung eines Lieferkettengesetzes, wie sie bereits im Koalitionsvertrag verankert aber noch nicht umgesetzt wurde. Das Lieferkettengesetz fordert </w:t>
      </w:r>
      <w:r>
        <w:rPr>
          <w:u w:val="none"/>
          <w:shd w:val="clear" w:color="auto" w:fill="ffffff"/>
          <w:rtl w:val="0"/>
          <w:lang w:val="de-DE"/>
        </w:rPr>
        <w:t xml:space="preserve">Haftungsregelungen </w:t>
      </w:r>
      <w:r>
        <w:rPr>
          <w:u w:val="none"/>
          <w:shd w:val="clear" w:color="auto" w:fill="ffffff"/>
          <w:rtl w:val="0"/>
          <w:lang w:val="de-DE"/>
        </w:rPr>
        <w:t>f</w:t>
      </w:r>
      <w:r>
        <w:rPr>
          <w:u w:val="none"/>
          <w:shd w:val="clear" w:color="auto" w:fill="ffffff"/>
          <w:rtl w:val="0"/>
          <w:lang w:val="de-DE"/>
        </w:rPr>
        <w:t>ü</w:t>
      </w:r>
      <w:r>
        <w:rPr>
          <w:u w:val="none"/>
          <w:shd w:val="clear" w:color="auto" w:fill="ffffff"/>
          <w:rtl w:val="0"/>
          <w:lang w:val="de-DE"/>
        </w:rPr>
        <w:t xml:space="preserve">r Unternehmen </w:t>
      </w:r>
      <w:r>
        <w:rPr>
          <w:u w:val="none"/>
          <w:shd w:val="clear" w:color="auto" w:fill="ffffff"/>
          <w:rtl w:val="0"/>
          <w:lang w:val="de-DE"/>
        </w:rPr>
        <w:t>sowie effektive staatliche Durchsetzungsmechanismen</w:t>
      </w:r>
      <w:r>
        <w:rPr>
          <w:u w:val="none"/>
          <w:shd w:val="clear" w:color="auto" w:fill="ffffff"/>
          <w:rtl w:val="0"/>
          <w:lang w:val="de-DE"/>
        </w:rPr>
        <w:t xml:space="preserve"> ein. Als Nachfrager steht die </w:t>
      </w:r>
      <w:r>
        <w:rPr>
          <w:u w:val="none"/>
          <w:shd w:val="clear" w:color="auto" w:fill="ffffff"/>
          <w:rtl w:val="0"/>
          <w:lang w:val="de-DE"/>
        </w:rPr>
        <w:t>ö</w:t>
      </w:r>
      <w:r>
        <w:rPr>
          <w:u w:val="none"/>
          <w:shd w:val="clear" w:color="auto" w:fill="ffffff"/>
          <w:rtl w:val="0"/>
          <w:lang w:val="de-DE"/>
        </w:rPr>
        <w:t>ffentliche Hand in besonderer Verantwortung, entsprechende Standards gegen</w:t>
      </w:r>
      <w:r>
        <w:rPr>
          <w:u w:val="none"/>
          <w:shd w:val="clear" w:color="auto" w:fill="ffffff"/>
          <w:rtl w:val="0"/>
          <w:lang w:val="de-DE"/>
        </w:rPr>
        <w:t>ü</w:t>
      </w:r>
      <w:r>
        <w:rPr>
          <w:u w:val="none"/>
          <w:shd w:val="clear" w:color="auto" w:fill="ffffff"/>
          <w:rtl w:val="0"/>
          <w:lang w:val="de-DE"/>
        </w:rPr>
        <w:t xml:space="preserve">ber Anbietern einzufordern.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u w:val="none"/>
          <w:shd w:val="clear" w:color="auto" w:fill="ffffff"/>
        </w:rPr>
        <w:br w:type="textWrapping"/>
        <w:br w:type="textWrapping"/>
      </w:r>
      <w:r>
        <w:rPr>
          <w:u w:val="none"/>
          <w:shd w:val="clear" w:color="auto" w:fill="ffffff"/>
          <w:rtl w:val="0"/>
          <w:lang w:val="de-DE"/>
        </w:rPr>
        <w:t>Der Resolution sind (Stand 6. April 2021) bereits sechs Berliner Bezirke (Mitte, Friedrichshain-Kreuzberg, Pankow, Lichtenberg, Treptow-K</w:t>
      </w:r>
      <w:r>
        <w:rPr>
          <w:u w:val="none"/>
          <w:shd w:val="clear" w:color="auto" w:fill="ffffff"/>
          <w:rtl w:val="0"/>
          <w:lang w:val="de-DE"/>
        </w:rPr>
        <w:t>ö</w:t>
      </w:r>
      <w:r>
        <w:rPr>
          <w:u w:val="none"/>
          <w:shd w:val="clear" w:color="auto" w:fill="ffffff"/>
          <w:rtl w:val="0"/>
          <w:lang w:val="de-DE"/>
        </w:rPr>
        <w:t>penick und Neuk</w:t>
      </w:r>
      <w:r>
        <w:rPr>
          <w:u w:val="none"/>
          <w:shd w:val="clear" w:color="auto" w:fill="ffffff"/>
          <w:rtl w:val="0"/>
          <w:lang w:val="de-DE"/>
        </w:rPr>
        <w:t>ö</w:t>
      </w:r>
      <w:r>
        <w:rPr>
          <w:u w:val="none"/>
          <w:shd w:val="clear" w:color="auto" w:fill="ffffff"/>
          <w:rtl w:val="0"/>
          <w:lang w:val="de-DE"/>
        </w:rPr>
        <w:t xml:space="preserve">lln) beigetreten.  </w:t>
      </w: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  <w:r>
        <w:rPr>
          <w:rtl w:val="0"/>
          <w:lang w:val="de-DE"/>
        </w:rPr>
        <w:t xml:space="preserve">Berlin, den </w:t>
      </w:r>
      <w:r>
        <w:rPr>
          <w:rtl w:val="0"/>
          <w:lang w:val="de-DE"/>
        </w:rPr>
        <w:t>19</w:t>
      </w:r>
      <w:r>
        <w:rPr>
          <w:rtl w:val="0"/>
          <w:lang w:val="de-DE"/>
        </w:rPr>
        <w:t>.0</w:t>
      </w:r>
      <w:r>
        <w:rPr>
          <w:rtl w:val="0"/>
          <w:lang w:val="de-DE"/>
        </w:rPr>
        <w:t>4</w:t>
      </w:r>
      <w:r>
        <w:rPr>
          <w:rtl w:val="0"/>
          <w:lang w:val="de-DE"/>
        </w:rPr>
        <w:t>.20</w:t>
      </w:r>
      <w:r>
        <w:rPr>
          <w:rtl w:val="0"/>
          <w:lang w:val="de-DE"/>
        </w:rPr>
        <w:t>2</w:t>
      </w:r>
      <w:r>
        <w:rPr>
          <w:rtl w:val="0"/>
          <w:lang w:val="de-DE"/>
        </w:rPr>
        <w:t>1</w:t>
      </w: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  <w:rPr>
          <w:b w:val="1"/>
          <w:bCs w:val="1"/>
        </w:rPr>
      </w:pPr>
      <w:r>
        <w:rPr>
          <w:b w:val="1"/>
          <w:bCs w:val="1"/>
          <w:rtl w:val="0"/>
          <w:lang w:val="de-DE"/>
        </w:rPr>
        <w:t xml:space="preserve">Frau Wissel, Elisabeth </w:t>
      </w:r>
      <w:r>
        <w:rPr>
          <w:b w:val="1"/>
          <w:bCs w:val="1"/>
        </w:rPr>
        <w:tab/>
        <w:tab/>
      </w:r>
      <w:r>
        <w:rPr>
          <w:b w:val="1"/>
          <w:bCs w:val="1"/>
          <w:rtl w:val="0"/>
          <w:lang w:val="de-DE"/>
        </w:rPr>
        <w:t xml:space="preserve">                         </w:t>
      </w:r>
      <w:r>
        <w:rPr>
          <w:b w:val="1"/>
          <w:bCs w:val="1"/>
        </w:rPr>
        <w:tab/>
      </w:r>
      <w:r>
        <w:rPr>
          <w:b w:val="1"/>
          <w:bCs w:val="1"/>
          <w:rtl w:val="0"/>
          <w:lang w:val="de-DE"/>
        </w:rPr>
        <w:t>Herr Rutsch, Martin</w:t>
      </w:r>
    </w:p>
    <w:p>
      <w:pPr>
        <w:pStyle w:val="Normal.0"/>
        <w:spacing w:line="276" w:lineRule="auto"/>
        <w:jc w:val="both"/>
      </w:pPr>
      <w:r>
        <w:rPr>
          <w:b w:val="1"/>
          <w:bCs w:val="1"/>
          <w:rtl w:val="0"/>
          <w:lang w:val="de-DE"/>
        </w:rPr>
        <w:t>Fraktion</w:t>
      </w:r>
      <w:r>
        <w:rPr>
          <w:b w:val="1"/>
          <w:bCs w:val="1"/>
          <w:rtl w:val="0"/>
          <w:lang w:val="de-DE"/>
        </w:rPr>
        <w:t xml:space="preserve"> DIE LINKE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0" w:h="16840" w:orient="portrait"/>
      <w:pgMar w:top="851" w:right="1418" w:bottom="1134" w:left="1418" w:header="284" w:footer="284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4"/>
        <w:tab w:val="clear" w:pos="9072"/>
      </w:tabs>
      <w:rPr>
        <w:sz w:val="16"/>
        <w:szCs w:val="16"/>
      </w:rPr>
    </w:pPr>
    <w:r>
      <w:rPr>
        <w:sz w:val="16"/>
        <w:szCs w:val="16"/>
      </w:rPr>
      <w:tab/>
      <w:tab/>
    </w:r>
  </w:p>
  <w:p>
    <w:pPr>
      <w:pStyle w:val="footer"/>
      <w:tabs>
        <w:tab w:val="right" w:pos="9044"/>
        <w:tab w:val="clear" w:pos="9072"/>
      </w:tabs>
    </w:pPr>
    <w:r>
      <w:rPr>
        <w:sz w:val="16"/>
        <w:szCs w:val="16"/>
        <w:rtl w:val="0"/>
      </w:rPr>
      <w:tab/>
      <w:tab/>
      <w:t xml:space="preserve">Seite: </w:t>
    </w:r>
    <w:r>
      <w:rPr>
        <w:sz w:val="16"/>
        <w:szCs w:val="16"/>
        <w:rtl w:val="0"/>
      </w:rPr>
      <w:fldChar w:fldCharType="begin" w:fldLock="0"/>
    </w:r>
    <w:r>
      <w:rPr>
        <w:sz w:val="16"/>
        <w:szCs w:val="16"/>
        <w:rtl w:val="0"/>
      </w:rPr>
      <w:instrText xml:space="preserve"> NUMPAGES </w:instrText>
    </w:r>
    <w:r>
      <w:rPr>
        <w:sz w:val="16"/>
        <w:szCs w:val="16"/>
        <w:rtl w:val="0"/>
      </w:rPr>
      <w:fldChar w:fldCharType="separate" w:fldLock="0"/>
    </w:r>
    <w:r>
      <w:rPr>
        <w:sz w:val="16"/>
        <w:szCs w:val="16"/>
        <w:rtl w:val="0"/>
      </w:rPr>
      <w:t>2</w:t>
    </w:r>
    <w:r>
      <w:rPr>
        <w:sz w:val="16"/>
        <w:szCs w:val="16"/>
        <w:rtl w:val="0"/>
      </w:rPr>
      <w:fldChar w:fldCharType="end" w:fldLock="0"/>
    </w:r>
    <w:r>
      <w:rPr>
        <w:sz w:val="16"/>
        <w:szCs w:val="16"/>
        <w:rtl w:val="0"/>
        <w:lang w:val="de-DE"/>
      </w:rPr>
      <w:t>/</w:t>
    </w:r>
    <w:r>
      <w:rPr>
        <w:sz w:val="16"/>
        <w:szCs w:val="16"/>
        <w:rtl w:val="0"/>
      </w:rPr>
      <w:fldChar w:fldCharType="begin" w:fldLock="0"/>
    </w:r>
    <w:r>
      <w:rPr>
        <w:sz w:val="16"/>
        <w:szCs w:val="16"/>
        <w:rtl w:val="0"/>
      </w:rPr>
      <w:instrText xml:space="preserve"> PAGE </w:instrText>
    </w:r>
    <w:r>
      <w:rPr>
        <w:sz w:val="16"/>
        <w:szCs w:val="16"/>
        <w:rtl w:val="0"/>
      </w:rPr>
      <w:fldChar w:fldCharType="separate" w:fldLock="0"/>
    </w:r>
    <w:r>
      <w:rPr>
        <w:sz w:val="16"/>
        <w:szCs w:val="16"/>
        <w:rtl w:val="0"/>
      </w:rPr>
      <w:t>2</w:t>
    </w:r>
    <w:r>
      <w:rPr>
        <w:sz w:val="16"/>
        <w:szCs w:val="16"/>
        <w:rtl w:val="0"/>
      </w:rPr>
      <w:fldChar w:fldCharType="end" w:fldLock="0"/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bidi w:val="0"/>
      <w:ind w:left="0" w:right="0" w:firstLine="0"/>
      <w:jc w:val="left"/>
      <w:rPr>
        <w:sz w:val="24"/>
        <w:szCs w:val="24"/>
        <w:rtl w:val="0"/>
      </w:rPr>
    </w:pPr>
    <w:r>
      <w:rPr>
        <w:sz w:val="24"/>
        <w:szCs w:val="24"/>
        <w:rtl w:val="0"/>
        <w:lang w:val="de-DE"/>
      </w:rPr>
      <w:t>Abstimmungsergebnis:</w:t>
    </w:r>
  </w:p>
  <w:p>
    <w:pPr>
      <w:pStyle w:val="footer"/>
      <w:rPr>
        <w:sz w:val="16"/>
        <w:szCs w:val="16"/>
      </w:rPr>
    </w:pPr>
  </w:p>
  <w:p>
    <w:pPr>
      <w:pStyle w:val="footer"/>
      <w:bidi w:val="0"/>
      <w:ind w:left="0" w:right="0" w:firstLine="0"/>
      <w:jc w:val="left"/>
      <w:rPr>
        <w:rtl w:val="0"/>
      </w:rPr>
    </w:pPr>
    <w:r>
      <w:rPr>
        <w:sz w:val="22"/>
        <w:szCs w:val="22"/>
        <w:rtl w:val="0"/>
        <w:lang w:val="de-DE"/>
      </w:rPr>
      <w:t>beschlossen:</w:t>
      <w:tab/>
      <w:t>abgelehnt:</w:t>
      <w:tab/>
    </w:r>
    <w:r>
      <w:rPr>
        <w:sz w:val="24"/>
        <w:szCs w:val="24"/>
        <w:rtl w:val="0"/>
        <w:lang w:val="de-DE"/>
      </w:rPr>
      <w:t>ü</w:t>
    </w:r>
    <w:r>
      <w:rPr>
        <w:sz w:val="24"/>
        <w:szCs w:val="24"/>
        <w:rtl w:val="0"/>
        <w:lang w:val="de-DE"/>
      </w:rPr>
      <w:t>berwiesen: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heading 4">
    <w:name w:val="heading 4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120" w:after="60" w:line="240" w:lineRule="auto"/>
      <w:ind w:left="0" w:right="0" w:firstLine="0"/>
      <w:jc w:val="center"/>
      <w:outlineLvl w:val="3"/>
    </w:pPr>
    <w:rPr>
      <w:rFonts w:ascii="Arial" w:cs="Arial Unicode MS" w:hAnsi="Arial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heading 5">
    <w:name w:val="heading 5"/>
    <w:next w:val="Normal.0"/>
    <w:pPr>
      <w:keepNext w:val="1"/>
      <w:keepLines w:val="0"/>
      <w:pageBreakBefore w:val="0"/>
      <w:widowControl w:val="1"/>
      <w:shd w:val="clear" w:color="auto" w:fill="auto"/>
      <w:tabs>
        <w:tab w:val="left" w:pos="1490"/>
      </w:tabs>
      <w:suppressAutoHyphens w:val="0"/>
      <w:bidi w:val="0"/>
      <w:spacing w:before="120" w:after="60" w:line="240" w:lineRule="auto"/>
      <w:ind w:left="0" w:right="0" w:firstLine="0"/>
      <w:jc w:val="left"/>
      <w:outlineLvl w:val="4"/>
    </w:pPr>
    <w:rPr>
      <w:rFonts w:ascii="Arial" w:cs="Arial Unicode MS" w:hAnsi="Arial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6"/>
      <w:szCs w:val="16"/>
      <w:u w:val="none" w:color="000000"/>
      <w:vertAlign w:val="baseline"/>
      <w:lang w:val="de-DE"/>
    </w:rPr>
  </w:style>
  <w:style w:type="paragraph" w:styleId="heading 1">
    <w:name w:val="heading 1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120" w:after="0" w:line="240" w:lineRule="auto"/>
      <w:ind w:left="0" w:right="0" w:firstLine="0"/>
      <w:jc w:val="left"/>
      <w:outlineLvl w:val="0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vertAlign w:val="baseline"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Lariss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