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>DIE LINKE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2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4"/>
                <w:szCs w:val="24"/>
                <w:lang w:val="de-DE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6"/>
                <w:szCs w:val="26"/>
                <w:rtl w:val="0"/>
                <w:lang w:val="de-DE"/>
              </w:rPr>
              <w:t>In Aufz</w:t>
            </w:r>
            <w:r>
              <w:rPr>
                <w:b w:val="1"/>
                <w:bCs w:val="1"/>
                <w:sz w:val="26"/>
                <w:szCs w:val="26"/>
                <w:rtl w:val="0"/>
              </w:rPr>
              <w:t>ü</w:t>
            </w:r>
            <w:r>
              <w:rPr>
                <w:b w:val="1"/>
                <w:bCs w:val="1"/>
                <w:sz w:val="26"/>
                <w:szCs w:val="26"/>
                <w:rtl w:val="0"/>
                <w:lang w:val="de-DE"/>
              </w:rPr>
              <w:t>gen der st</w:t>
            </w:r>
            <w:r>
              <w:rPr>
                <w:b w:val="1"/>
                <w:bCs w:val="1"/>
                <w:sz w:val="26"/>
                <w:szCs w:val="26"/>
                <w:rtl w:val="0"/>
              </w:rPr>
              <w:t>ä</w:t>
            </w:r>
            <w:r>
              <w:rPr>
                <w:b w:val="1"/>
                <w:bCs w:val="1"/>
                <w:sz w:val="26"/>
                <w:szCs w:val="26"/>
                <w:rtl w:val="0"/>
                <w:lang w:val="de-DE"/>
              </w:rPr>
              <w:t>dtischen Wohnungsbaugesellschaften Mund- und Nasenschutzmasken verbindlich anordnen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 </w:t>
            </w:r>
          </w:p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de-DE"/>
        </w:rPr>
        <w:t>Die BVV empfiehlt dem Bezirksamt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sich an die zust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Stellen sowie d</w:t>
      </w:r>
      <w:r>
        <w:rPr>
          <w:rtl w:val="0"/>
          <w:lang w:val="de-DE"/>
        </w:rPr>
        <w:t>ie</w:t>
      </w:r>
      <w:r>
        <w:rPr>
          <w:rtl w:val="0"/>
          <w:lang w:val="de-DE"/>
        </w:rPr>
        <w:t xml:space="preserve">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dtischen Wohnungsbaugesellschaften zu wenden, die dringende Empfehlung an ihre Mieter:innen abzugeben, dass als Coronaschutzma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 in den Aufz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gen ihres Bestandes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Masken zu tragen sind.</w:t>
      </w:r>
    </w:p>
    <w:p>
      <w:pPr>
        <w:pStyle w:val="Normal.0"/>
        <w:spacing w:after="160" w:line="259" w:lineRule="auto"/>
      </w:pPr>
      <w:r>
        <w:rPr>
          <w:rtl w:val="0"/>
          <w:lang w:val="de-DE"/>
        </w:rPr>
        <w:t>Hierf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sollen Aush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 (Piktogramme) vor jedem Aufzug sichtbar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angebracht werden.</w:t>
      </w:r>
    </w:p>
    <w:p>
      <w:pPr>
        <w:pStyle w:val="Normal.0"/>
        <w:spacing w:after="160" w:line="259" w:lineRule="auto"/>
      </w:pPr>
      <w:r>
        <w:rPr>
          <w:rtl w:val="0"/>
          <w:lang w:val="de-DE"/>
        </w:rPr>
        <w:t xml:space="preserve">Des Weiteren soll die Empfehlung gegeben werden, dass die Anzahl der Aufzug-Nutzer:innen zwei Erwachsene nicht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bersteigt.</w:t>
      </w:r>
    </w:p>
    <w:p>
      <w:pPr>
        <w:pStyle w:val="Normal.0"/>
        <w:spacing w:after="160" w:line="259" w:lineRule="auto"/>
      </w:pPr>
      <w:r>
        <w:rPr>
          <w:rtl w:val="0"/>
          <w:lang w:val="de-DE"/>
        </w:rPr>
        <w:t>Auch private Vermieter:innen sind mit einem Rundschreiben auf diese Schutzhinweise anzuschreiben.</w:t>
      </w:r>
    </w:p>
    <w:p>
      <w:pPr>
        <w:pStyle w:val="Normal.0"/>
        <w:spacing w:after="160" w:line="259" w:lineRule="auto"/>
      </w:pPr>
    </w:p>
    <w:p>
      <w:pPr>
        <w:pStyle w:val="Normal.0"/>
        <w:spacing w:after="160" w:line="259" w:lineRule="auto"/>
      </w:pPr>
      <w:r>
        <w:rPr>
          <w:rtl w:val="0"/>
          <w:lang w:val="de-DE"/>
        </w:rPr>
        <w:t>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Normal.0"/>
        <w:spacing w:after="160" w:line="259" w:lineRule="auto"/>
      </w:pPr>
      <w:r>
        <w:rPr>
          <w:rtl w:val="0"/>
          <w:lang w:val="de-DE"/>
        </w:rPr>
        <w:t>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hrend es in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ffentlichen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uden inzwischen selbstverst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ndlich ist, dass im Aufzug eine Gesichts- und Nasenbedeckung erforderlich ist, gibt es bei einigen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dtischen Wohnungsbaugesellschaften keine Aush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einzuhaltende Schutzma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nahmen. </w:t>
      </w:r>
    </w:p>
    <w:p>
      <w:pPr>
        <w:pStyle w:val="Normal.0"/>
        <w:spacing w:after="160" w:line="259" w:lineRule="auto"/>
      </w:pPr>
      <w:r>
        <w:rPr>
          <w:rtl w:val="0"/>
          <w:lang w:val="de-DE"/>
        </w:rPr>
        <w:t>Aufgrund der steigenden Zahlen von positiv Getesteten, sollten gerade in Hochh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usern diese Schutzma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nahmen eingehalten werden. Besonders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ltere Menschen sind diesbez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sehr verunsichert und erwarten von ihrem Vermieter solche Schutzhinweise.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u w:val="single"/>
          <w:shd w:val="clear" w:color="auto" w:fill="ffffff"/>
        </w:rPr>
      </w:pPr>
      <w:r>
        <w:rPr>
          <w:u w:val="none"/>
          <w:shd w:val="clear" w:color="auto" w:fill="ffffff"/>
          <w:rtl w:val="0"/>
          <w:lang w:val="de-DE"/>
        </w:rPr>
        <w:t xml:space="preserve"> 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19</w:t>
      </w:r>
      <w:r>
        <w:rPr>
          <w:rtl w:val="0"/>
          <w:lang w:val="de-DE"/>
        </w:rPr>
        <w:t>.0</w:t>
      </w:r>
      <w:r>
        <w:rPr>
          <w:rtl w:val="0"/>
          <w:lang w:val="de-DE"/>
        </w:rPr>
        <w:t>4</w:t>
      </w:r>
      <w:r>
        <w:rPr>
          <w:rtl w:val="0"/>
          <w:lang w:val="de-DE"/>
        </w:rPr>
        <w:t>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Frau Wissel, Elisabeth 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de-DE"/>
        </w:rPr>
        <w:t xml:space="preserve">                         </w:t>
      </w:r>
      <w:r>
        <w:rPr>
          <w:b w:val="1"/>
          <w:bCs w:val="1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line="276" w:lineRule="auto"/>
        <w:jc w:val="both"/>
      </w:pPr>
      <w:r>
        <w:rPr>
          <w:b w:val="1"/>
          <w:bCs w:val="1"/>
          <w:rtl w:val="0"/>
          <w:lang w:val="de-DE"/>
        </w:rPr>
        <w:t>Fraktion</w:t>
      </w:r>
      <w:r>
        <w:rPr>
          <w:b w:val="1"/>
          <w:bCs w:val="1"/>
          <w:rtl w:val="0"/>
          <w:lang w:val="de-DE"/>
        </w:rPr>
        <w:t xml:space="preserve"> DIE LINKE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