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uto"/>
        <w:rPr>
          <w:rFonts w:cs="Arial"/>
          <w:b/>
        </w:rPr>
      </w:pPr>
      <w:r>
        <w:rPr>
          <w:rFonts w:cs="Arial"/>
          <w:b/>
        </w:rPr>
        <w:t>Mündliche Anfrage Nr. 34</w:t>
      </w:r>
    </w:p>
    <w:p>
      <w:pPr>
        <w:rPr>
          <w:rFonts w:cs="Arial"/>
          <w:b/>
        </w:rPr>
      </w:pPr>
      <w:r>
        <w:rPr>
          <w:rFonts w:cs="Arial"/>
        </w:rPr>
        <w:t xml:space="preserve">des Bezirksverordneten </w:t>
      </w:r>
      <w:r>
        <w:rPr>
          <w:rFonts w:cs="Arial"/>
          <w:b/>
        </w:rPr>
        <w:t>Martin Rutsch (Die Linke)</w:t>
      </w:r>
    </w:p>
    <w:p>
      <w:pPr>
        <w:rPr>
          <w:rFonts w:cs="Arial"/>
          <w:b/>
        </w:rPr>
      </w:pPr>
    </w:p>
    <w:p>
      <w:pPr>
        <w:rPr>
          <w:rFonts w:cs="Arial"/>
          <w:b/>
        </w:rPr>
      </w:pPr>
      <w:r>
        <w:rPr>
          <w:rFonts w:cs="Arial"/>
          <w:b/>
        </w:rPr>
        <w:t>Sozialbestattungen im Bezirk</w:t>
      </w:r>
    </w:p>
    <w:p>
      <w:pPr>
        <w:rPr>
          <w:rFonts w:cs="Arial"/>
          <w:b/>
        </w:rPr>
      </w:pPr>
    </w:p>
    <w:p>
      <w:pPr>
        <w:rPr>
          <w:rFonts w:cs="Arial"/>
        </w:rPr>
      </w:pPr>
      <w:r>
        <w:rPr>
          <w:rFonts w:cs="Arial"/>
        </w:rPr>
        <w:t>Sehr geehrter Herr Vorsteher,</w:t>
      </w:r>
    </w:p>
    <w:p>
      <w:pPr>
        <w:rPr>
          <w:rFonts w:cs="Arial"/>
        </w:rPr>
      </w:pPr>
      <w:r>
        <w:rPr>
          <w:rFonts w:cs="Arial"/>
        </w:rPr>
        <w:t>meine sehr geehrten Damen und Herren,</w:t>
      </w:r>
    </w:p>
    <w:p>
      <w:pPr>
        <w:rPr>
          <w:rFonts w:cs="Arial"/>
        </w:rPr>
      </w:pPr>
    </w:p>
    <w:p>
      <w:pPr>
        <w:rPr>
          <w:rFonts w:cs="Arial"/>
        </w:rPr>
      </w:pPr>
      <w:r>
        <w:rPr>
          <w:rFonts w:cs="Arial"/>
        </w:rPr>
        <w:t>ich beantworte die mündliche Anfrage des Bezirksverordneten Rutsch für das Bezirksamt wie folgt:</w:t>
      </w:r>
    </w:p>
    <w:p>
      <w:pPr>
        <w:rPr>
          <w:rFonts w:cs="Arial"/>
          <w:sz w:val="28"/>
          <w:szCs w:val="28"/>
        </w:rPr>
      </w:pPr>
    </w:p>
    <w:tbl>
      <w:tblPr>
        <w:tblW w:w="17694" w:type="dxa"/>
        <w:tblLook w:val="01E0" w:firstRow="1" w:lastRow="1" w:firstColumn="1" w:lastColumn="1" w:noHBand="0" w:noVBand="0"/>
      </w:tblPr>
      <w:tblGrid>
        <w:gridCol w:w="450"/>
        <w:gridCol w:w="8622"/>
        <w:gridCol w:w="8622"/>
      </w:tblGrid>
      <w:tr>
        <w:trPr>
          <w:gridAfter w:val="1"/>
          <w:wAfter w:w="8622" w:type="dxa"/>
        </w:trPr>
        <w:tc>
          <w:tcPr>
            <w:tcW w:w="450" w:type="dxa"/>
            <w:shd w:val="clear" w:color="auto" w:fill="auto"/>
          </w:tcPr>
          <w:p>
            <w:pPr>
              <w:jc w:val="both"/>
              <w:rPr>
                <w:rFonts w:cs="Arial"/>
                <w:b/>
                <w:sz w:val="28"/>
                <w:szCs w:val="28"/>
              </w:rPr>
            </w:pPr>
            <w:r>
              <w:rPr>
                <w:rFonts w:cs="Arial"/>
                <w:b/>
                <w:sz w:val="28"/>
                <w:szCs w:val="28"/>
              </w:rPr>
              <w:t>1.</w:t>
            </w:r>
          </w:p>
        </w:tc>
        <w:tc>
          <w:tcPr>
            <w:tcW w:w="8622" w:type="dxa"/>
            <w:shd w:val="clear" w:color="auto" w:fill="auto"/>
          </w:tcPr>
          <w:p>
            <w:pPr>
              <w:pStyle w:val="Listenabsatz"/>
              <w:spacing w:before="0" w:after="0" w:line="276" w:lineRule="auto"/>
              <w:ind w:left="0"/>
              <w:rPr>
                <w:rFonts w:eastAsia="Times New Roman" w:cs="Arial"/>
                <w:sz w:val="28"/>
                <w:szCs w:val="28"/>
                <w:lang w:eastAsia="de-DE"/>
              </w:rPr>
            </w:pPr>
            <w:r>
              <w:rPr>
                <w:rFonts w:eastAsia="Times New Roman" w:cs="Arial"/>
                <w:sz w:val="28"/>
                <w:szCs w:val="28"/>
                <w:lang w:eastAsia="de-DE"/>
              </w:rPr>
              <w:t>Auf welchen Friedhöfen werden Sozialbestattungen vorgenommen?</w:t>
            </w:r>
          </w:p>
          <w:p>
            <w:pPr>
              <w:pStyle w:val="Listenabsatz"/>
              <w:spacing w:before="0" w:after="0" w:line="276" w:lineRule="auto"/>
              <w:ind w:left="0"/>
              <w:rPr>
                <w:rFonts w:cs="Arial"/>
                <w:sz w:val="28"/>
                <w:szCs w:val="28"/>
              </w:rPr>
            </w:pPr>
          </w:p>
        </w:tc>
      </w:tr>
      <w:tr>
        <w:trPr>
          <w:gridAfter w:val="1"/>
          <w:wAfter w:w="8622" w:type="dxa"/>
        </w:trPr>
        <w:tc>
          <w:tcPr>
            <w:tcW w:w="450" w:type="dxa"/>
            <w:shd w:val="clear" w:color="auto" w:fill="auto"/>
          </w:tcPr>
          <w:p>
            <w:pPr>
              <w:jc w:val="both"/>
              <w:rPr>
                <w:rFonts w:cs="Arial"/>
                <w:b/>
                <w:sz w:val="28"/>
                <w:szCs w:val="28"/>
              </w:rPr>
            </w:pPr>
          </w:p>
        </w:tc>
        <w:tc>
          <w:tcPr>
            <w:tcW w:w="8622" w:type="dxa"/>
            <w:shd w:val="clear" w:color="auto" w:fill="auto"/>
          </w:tcPr>
          <w:p>
            <w:pPr>
              <w:spacing w:line="360" w:lineRule="auto"/>
              <w:jc w:val="both"/>
              <w:rPr>
                <w:rFonts w:cs="Arial"/>
                <w:b/>
                <w:sz w:val="28"/>
                <w:szCs w:val="28"/>
              </w:rPr>
            </w:pPr>
            <w:r>
              <w:rPr>
                <w:rFonts w:cs="Arial"/>
                <w:b/>
                <w:sz w:val="28"/>
                <w:szCs w:val="28"/>
              </w:rPr>
              <w:t>Antwort</w:t>
            </w:r>
            <w:bookmarkStart w:id="0" w:name="_GoBack"/>
            <w:bookmarkEnd w:id="0"/>
          </w:p>
          <w:p>
            <w:pPr>
              <w:spacing w:line="360" w:lineRule="auto"/>
              <w:jc w:val="both"/>
              <w:rPr>
                <w:rFonts w:cs="Arial"/>
                <w:i/>
                <w:sz w:val="28"/>
                <w:szCs w:val="28"/>
              </w:rPr>
            </w:pPr>
            <w:r>
              <w:rPr>
                <w:rFonts w:cs="Arial"/>
                <w:i/>
                <w:sz w:val="28"/>
                <w:szCs w:val="28"/>
              </w:rPr>
              <w:t>Grundsätzlich werden auf allen Friedhöfen, bei denen Reihen- und Gemeinschaftsgräber vorhanden sind, die Kosten für die Grabkosten der Sozialbestattung übernommen. In Einzelfällen werden auch die Kosten für andere Grabstellen übernommen, z.B., wenn sie kostengünstiger sind oder bereits eine Grabstelle (Doppelgrab) existiert.</w:t>
            </w:r>
          </w:p>
          <w:p>
            <w:pPr>
              <w:jc w:val="both"/>
              <w:rPr>
                <w:rFonts w:cs="Arial"/>
                <w:b/>
                <w:sz w:val="28"/>
                <w:szCs w:val="28"/>
              </w:rPr>
            </w:pPr>
          </w:p>
        </w:tc>
      </w:tr>
      <w:tr>
        <w:trPr>
          <w:gridAfter w:val="1"/>
          <w:wAfter w:w="8622" w:type="dxa"/>
        </w:trPr>
        <w:tc>
          <w:tcPr>
            <w:tcW w:w="450" w:type="dxa"/>
            <w:shd w:val="clear" w:color="auto" w:fill="auto"/>
          </w:tcPr>
          <w:p>
            <w:pPr>
              <w:jc w:val="both"/>
              <w:rPr>
                <w:rFonts w:cs="Arial"/>
                <w:b/>
                <w:sz w:val="28"/>
                <w:szCs w:val="28"/>
              </w:rPr>
            </w:pPr>
            <w:r>
              <w:rPr>
                <w:rFonts w:cs="Arial"/>
                <w:b/>
                <w:sz w:val="28"/>
                <w:szCs w:val="28"/>
              </w:rPr>
              <w:t>2.</w:t>
            </w:r>
          </w:p>
        </w:tc>
        <w:tc>
          <w:tcPr>
            <w:tcW w:w="8622" w:type="dxa"/>
            <w:shd w:val="clear" w:color="auto" w:fill="auto"/>
          </w:tcPr>
          <w:p>
            <w:pPr>
              <w:pStyle w:val="Listenabsatz"/>
              <w:spacing w:before="0" w:after="0" w:line="276" w:lineRule="auto"/>
              <w:ind w:left="0"/>
              <w:rPr>
                <w:rFonts w:eastAsia="Times New Roman" w:cs="Arial"/>
                <w:sz w:val="28"/>
                <w:szCs w:val="28"/>
                <w:lang w:eastAsia="de-DE"/>
              </w:rPr>
            </w:pPr>
            <w:r>
              <w:rPr>
                <w:rFonts w:eastAsia="Times New Roman" w:cs="Arial"/>
                <w:sz w:val="28"/>
                <w:szCs w:val="28"/>
                <w:lang w:eastAsia="de-DE"/>
              </w:rPr>
              <w:t>Können Sozialbestattungen in Einzelgräbern neben den anderen Reihengräbern durchgeführt werden oder existieren bestimmte, vorgesehene Bereiche dafür?</w:t>
            </w:r>
          </w:p>
          <w:p>
            <w:pPr>
              <w:pStyle w:val="Listenabsatz"/>
              <w:spacing w:before="0" w:after="0" w:line="276" w:lineRule="auto"/>
              <w:ind w:left="0"/>
              <w:rPr>
                <w:rFonts w:eastAsia="Times New Roman" w:cs="Arial"/>
                <w:sz w:val="28"/>
                <w:szCs w:val="28"/>
                <w:lang w:eastAsia="de-DE"/>
              </w:rPr>
            </w:pPr>
          </w:p>
        </w:tc>
      </w:tr>
      <w:tr>
        <w:trPr>
          <w:gridAfter w:val="1"/>
          <w:wAfter w:w="8622" w:type="dxa"/>
        </w:trPr>
        <w:tc>
          <w:tcPr>
            <w:tcW w:w="450" w:type="dxa"/>
            <w:shd w:val="clear" w:color="auto" w:fill="auto"/>
          </w:tcPr>
          <w:p>
            <w:pPr>
              <w:jc w:val="both"/>
              <w:rPr>
                <w:rFonts w:cs="Arial"/>
                <w:b/>
                <w:sz w:val="28"/>
                <w:szCs w:val="28"/>
              </w:rPr>
            </w:pPr>
          </w:p>
        </w:tc>
        <w:tc>
          <w:tcPr>
            <w:tcW w:w="8622" w:type="dxa"/>
            <w:shd w:val="clear" w:color="auto" w:fill="auto"/>
          </w:tcPr>
          <w:p>
            <w:pPr>
              <w:spacing w:line="360" w:lineRule="auto"/>
              <w:jc w:val="both"/>
              <w:rPr>
                <w:rFonts w:cs="Arial"/>
                <w:b/>
                <w:sz w:val="28"/>
                <w:szCs w:val="28"/>
              </w:rPr>
            </w:pPr>
            <w:r>
              <w:rPr>
                <w:rFonts w:cs="Arial"/>
                <w:b/>
                <w:sz w:val="28"/>
                <w:szCs w:val="28"/>
              </w:rPr>
              <w:t>Antwort</w:t>
            </w:r>
          </w:p>
          <w:p>
            <w:pPr>
              <w:spacing w:line="360" w:lineRule="auto"/>
              <w:jc w:val="both"/>
              <w:rPr>
                <w:rFonts w:cs="Arial"/>
                <w:i/>
                <w:sz w:val="28"/>
                <w:szCs w:val="28"/>
              </w:rPr>
            </w:pPr>
            <w:r>
              <w:rPr>
                <w:rFonts w:cs="Arial"/>
                <w:i/>
                <w:sz w:val="28"/>
                <w:szCs w:val="28"/>
              </w:rPr>
              <w:t xml:space="preserve">Die Frage kann vom Amt für Soziales nicht beantwortet werden. Der Träger der Sozialhilfe entlastet den Bestattungspflichtigen von der Kostentragung, entscheidet aber nicht über die Auswahl einer Grabstätte. </w:t>
            </w:r>
          </w:p>
        </w:tc>
      </w:tr>
      <w:tr>
        <w:trPr>
          <w:gridAfter w:val="1"/>
          <w:wAfter w:w="8622" w:type="dxa"/>
        </w:trPr>
        <w:tc>
          <w:tcPr>
            <w:tcW w:w="450" w:type="dxa"/>
            <w:shd w:val="clear" w:color="auto" w:fill="auto"/>
          </w:tcPr>
          <w:p>
            <w:pPr>
              <w:jc w:val="both"/>
              <w:rPr>
                <w:rFonts w:cs="Arial"/>
                <w:b/>
                <w:sz w:val="28"/>
                <w:szCs w:val="28"/>
              </w:rPr>
            </w:pPr>
          </w:p>
        </w:tc>
        <w:tc>
          <w:tcPr>
            <w:tcW w:w="8622" w:type="dxa"/>
            <w:shd w:val="clear" w:color="auto" w:fill="auto"/>
          </w:tcPr>
          <w:p>
            <w:pPr>
              <w:spacing w:line="360" w:lineRule="auto"/>
              <w:jc w:val="both"/>
              <w:rPr>
                <w:rFonts w:cs="Arial"/>
                <w:b/>
                <w:sz w:val="28"/>
                <w:szCs w:val="28"/>
              </w:rPr>
            </w:pPr>
          </w:p>
        </w:tc>
      </w:tr>
      <w:tr>
        <w:trPr>
          <w:gridAfter w:val="1"/>
          <w:wAfter w:w="8622" w:type="dxa"/>
        </w:trPr>
        <w:tc>
          <w:tcPr>
            <w:tcW w:w="450" w:type="dxa"/>
            <w:shd w:val="clear" w:color="auto" w:fill="auto"/>
          </w:tcPr>
          <w:p>
            <w:pPr>
              <w:jc w:val="both"/>
              <w:rPr>
                <w:rFonts w:cs="Arial"/>
                <w:b/>
                <w:sz w:val="28"/>
                <w:szCs w:val="28"/>
              </w:rPr>
            </w:pPr>
          </w:p>
        </w:tc>
        <w:tc>
          <w:tcPr>
            <w:tcW w:w="8622" w:type="dxa"/>
            <w:shd w:val="clear" w:color="auto" w:fill="auto"/>
          </w:tcPr>
          <w:p>
            <w:pPr>
              <w:spacing w:line="360" w:lineRule="auto"/>
              <w:jc w:val="both"/>
              <w:rPr>
                <w:rFonts w:cs="Arial"/>
                <w:b/>
                <w:sz w:val="28"/>
                <w:szCs w:val="28"/>
              </w:rPr>
            </w:pPr>
            <w:r>
              <w:rPr>
                <w:rFonts w:cs="Arial"/>
                <w:b/>
                <w:sz w:val="28"/>
                <w:szCs w:val="28"/>
              </w:rPr>
              <w:t>Nachfragen:</w:t>
            </w:r>
          </w:p>
        </w:tc>
      </w:tr>
      <w:tr>
        <w:trPr>
          <w:gridAfter w:val="1"/>
          <w:wAfter w:w="8622" w:type="dxa"/>
        </w:trPr>
        <w:tc>
          <w:tcPr>
            <w:tcW w:w="450" w:type="dxa"/>
            <w:shd w:val="clear" w:color="auto" w:fill="auto"/>
          </w:tcPr>
          <w:p>
            <w:pPr>
              <w:jc w:val="both"/>
              <w:rPr>
                <w:rFonts w:cs="Arial"/>
                <w:b/>
                <w:sz w:val="28"/>
                <w:szCs w:val="28"/>
              </w:rPr>
            </w:pPr>
            <w:r>
              <w:rPr>
                <w:rFonts w:cs="Arial"/>
                <w:b/>
                <w:sz w:val="28"/>
                <w:szCs w:val="28"/>
              </w:rPr>
              <w:t>1.</w:t>
            </w:r>
          </w:p>
        </w:tc>
        <w:tc>
          <w:tcPr>
            <w:tcW w:w="8622" w:type="dxa"/>
            <w:shd w:val="clear" w:color="auto" w:fill="auto"/>
          </w:tcPr>
          <w:p>
            <w:pPr>
              <w:pStyle w:val="Listenabsatz"/>
              <w:spacing w:before="0" w:after="0" w:line="276" w:lineRule="auto"/>
              <w:ind w:left="0"/>
              <w:rPr>
                <w:rFonts w:eastAsia="Times New Roman" w:cs="Arial"/>
                <w:sz w:val="28"/>
                <w:szCs w:val="28"/>
                <w:lang w:eastAsia="de-DE"/>
              </w:rPr>
            </w:pPr>
            <w:r>
              <w:rPr>
                <w:rFonts w:eastAsia="Times New Roman" w:cs="Arial"/>
                <w:sz w:val="28"/>
                <w:szCs w:val="28"/>
                <w:lang w:eastAsia="de-DE"/>
              </w:rPr>
              <w:t>Welche Voraussetzungen müssen für eine Sozialbestattung erfüllt sein?</w:t>
            </w:r>
          </w:p>
          <w:p>
            <w:pPr>
              <w:pStyle w:val="Listenabsatz"/>
              <w:spacing w:before="0" w:after="0" w:line="276" w:lineRule="auto"/>
              <w:ind w:left="0"/>
              <w:rPr>
                <w:rFonts w:eastAsia="Times New Roman" w:cs="Arial"/>
                <w:sz w:val="28"/>
                <w:szCs w:val="28"/>
                <w:lang w:eastAsia="de-DE"/>
              </w:rPr>
            </w:pPr>
          </w:p>
          <w:p>
            <w:pPr>
              <w:pStyle w:val="Listenabsatz"/>
              <w:spacing w:before="0" w:after="0" w:line="276" w:lineRule="auto"/>
              <w:ind w:left="0"/>
              <w:rPr>
                <w:rFonts w:eastAsia="Times New Roman" w:cs="Arial"/>
                <w:sz w:val="28"/>
                <w:szCs w:val="28"/>
                <w:lang w:eastAsia="de-DE"/>
              </w:rPr>
            </w:pPr>
          </w:p>
          <w:p>
            <w:pPr>
              <w:spacing w:line="360" w:lineRule="auto"/>
              <w:jc w:val="both"/>
              <w:rPr>
                <w:rFonts w:cs="Arial"/>
                <w:b/>
                <w:sz w:val="28"/>
                <w:szCs w:val="28"/>
              </w:rPr>
            </w:pPr>
            <w:r>
              <w:rPr>
                <w:rFonts w:cs="Arial"/>
                <w:b/>
                <w:sz w:val="28"/>
                <w:szCs w:val="28"/>
              </w:rPr>
              <w:lastRenderedPageBreak/>
              <w:t>Antwort</w:t>
            </w:r>
          </w:p>
          <w:p>
            <w:pPr>
              <w:spacing w:line="276" w:lineRule="auto"/>
              <w:jc w:val="both"/>
              <w:rPr>
                <w:rFonts w:cs="Arial"/>
                <w:i/>
                <w:sz w:val="28"/>
                <w:szCs w:val="28"/>
              </w:rPr>
            </w:pPr>
            <w:r>
              <w:rPr>
                <w:rFonts w:cs="Arial"/>
                <w:i/>
                <w:sz w:val="28"/>
                <w:szCs w:val="28"/>
              </w:rPr>
              <w:t>Neben der örtlichen Zuständigkeit und der Antragsfrist ist die erste Voraussetzung, dass eine Person zur Tragung der Bestattungskosten verpflichtet ist. Nicht verpflichtet ist eine Person, die aus einem Gefühl sittlicher Verpflichtung oder auf Wunsch der verstorbenen Person (aber ohne Rechtspflicht oder wirksam eingegangene vertragliche Verpflichtung) die Bestattung veranlasst; in diesen Fällen ist keine Übernahme der Kosten möglich. Grundsätzlich sind die Erben zur Kostentragung verpflichtet, soweit keine Bestattungsvorsorgevereinbarung vorliegt. Die Rangfolge kostenpflichtiger Personen ist in der Ausführungsvorschrift über Bestattungskosten nach § 74 SGB XII (AV-</w:t>
            </w:r>
            <w:proofErr w:type="spellStart"/>
            <w:r>
              <w:rPr>
                <w:rFonts w:cs="Arial"/>
                <w:i/>
                <w:sz w:val="28"/>
                <w:szCs w:val="28"/>
              </w:rPr>
              <w:t>Soz</w:t>
            </w:r>
            <w:proofErr w:type="spellEnd"/>
            <w:r>
              <w:rPr>
                <w:rFonts w:cs="Arial"/>
                <w:i/>
                <w:sz w:val="28"/>
                <w:szCs w:val="28"/>
              </w:rPr>
              <w:t>-Bestattungskosten) geregelt.</w:t>
            </w:r>
          </w:p>
          <w:p>
            <w:pPr>
              <w:spacing w:line="276" w:lineRule="auto"/>
              <w:jc w:val="both"/>
              <w:rPr>
                <w:rFonts w:cs="Arial"/>
                <w:i/>
                <w:sz w:val="28"/>
                <w:szCs w:val="28"/>
              </w:rPr>
            </w:pPr>
          </w:p>
          <w:p>
            <w:pPr>
              <w:spacing w:line="276" w:lineRule="auto"/>
              <w:jc w:val="both"/>
              <w:rPr>
                <w:rFonts w:cs="Arial"/>
                <w:i/>
                <w:sz w:val="28"/>
                <w:szCs w:val="28"/>
              </w:rPr>
            </w:pPr>
            <w:r>
              <w:rPr>
                <w:rFonts w:cs="Arial"/>
                <w:i/>
                <w:sz w:val="28"/>
                <w:szCs w:val="28"/>
              </w:rPr>
              <w:t>Wenn eine Person tatsächlich kostenpflichtig sein sollte, ist eine weitere, zu überprüfende Voraussetzung, dass die Tragung der Bestattungskosten dem/der Verpflichteten nicht zuzumuten ist. Dabei wird die wirtschaftliche Leistungsfähigkeit der verpflichteten Person überprüft. Wenn das Ergebnis eintreten sollte, dass die Tragung der Kosten unzumutbar ist, werden die erforderlichen Kosten der Bestattung berücksichtigt.</w:t>
            </w:r>
          </w:p>
          <w:p>
            <w:pPr>
              <w:spacing w:line="276" w:lineRule="auto"/>
              <w:jc w:val="both"/>
              <w:rPr>
                <w:rFonts w:cs="Arial"/>
                <w:i/>
                <w:sz w:val="28"/>
                <w:szCs w:val="28"/>
              </w:rPr>
            </w:pPr>
          </w:p>
          <w:p>
            <w:pPr>
              <w:pStyle w:val="Listenabsatz"/>
              <w:spacing w:before="0" w:after="0" w:line="276" w:lineRule="auto"/>
              <w:ind w:left="0"/>
              <w:jc w:val="both"/>
              <w:rPr>
                <w:rFonts w:eastAsia="Times New Roman" w:cs="Arial"/>
                <w:sz w:val="28"/>
                <w:szCs w:val="28"/>
                <w:lang w:eastAsia="de-DE"/>
              </w:rPr>
            </w:pPr>
            <w:r>
              <w:rPr>
                <w:rFonts w:cs="Arial"/>
                <w:i/>
                <w:sz w:val="28"/>
                <w:szCs w:val="28"/>
              </w:rPr>
              <w:t>Grundsätzlich sind Bestattungen nach Ordnungsrecht abzugrenzen. Hier ist das bezirkliche Gesundheitsamt zuständig.</w:t>
            </w:r>
          </w:p>
          <w:p>
            <w:pPr>
              <w:pStyle w:val="Listenabsatz"/>
              <w:spacing w:before="0" w:after="0" w:line="276" w:lineRule="auto"/>
              <w:ind w:left="0"/>
              <w:rPr>
                <w:rFonts w:eastAsia="Times New Roman" w:cs="Arial"/>
                <w:sz w:val="28"/>
                <w:szCs w:val="28"/>
                <w:lang w:eastAsia="de-DE"/>
              </w:rPr>
            </w:pPr>
          </w:p>
        </w:tc>
      </w:tr>
      <w:tr>
        <w:tc>
          <w:tcPr>
            <w:tcW w:w="450" w:type="dxa"/>
            <w:shd w:val="clear" w:color="auto" w:fill="auto"/>
          </w:tcPr>
          <w:p>
            <w:pPr>
              <w:jc w:val="both"/>
              <w:rPr>
                <w:rFonts w:cs="Arial"/>
                <w:b/>
                <w:sz w:val="28"/>
                <w:szCs w:val="28"/>
              </w:rPr>
            </w:pPr>
            <w:r>
              <w:rPr>
                <w:rFonts w:cs="Arial"/>
                <w:b/>
                <w:sz w:val="28"/>
                <w:szCs w:val="28"/>
              </w:rPr>
              <w:lastRenderedPageBreak/>
              <w:t>2.</w:t>
            </w:r>
          </w:p>
        </w:tc>
        <w:tc>
          <w:tcPr>
            <w:tcW w:w="8622" w:type="dxa"/>
            <w:shd w:val="clear" w:color="auto" w:fill="auto"/>
          </w:tcPr>
          <w:p>
            <w:pPr>
              <w:spacing w:line="360" w:lineRule="auto"/>
              <w:jc w:val="both"/>
              <w:rPr>
                <w:rFonts w:cs="Arial"/>
                <w:sz w:val="28"/>
                <w:szCs w:val="28"/>
              </w:rPr>
            </w:pPr>
            <w:r>
              <w:rPr>
                <w:rFonts w:cs="Arial"/>
                <w:sz w:val="28"/>
                <w:szCs w:val="28"/>
              </w:rPr>
              <w:t>Wie viele Sozialbestattungen fanden im letzten Jahr und in diesem Jahr statt?</w:t>
            </w:r>
          </w:p>
          <w:p>
            <w:pPr>
              <w:spacing w:line="360" w:lineRule="auto"/>
              <w:jc w:val="both"/>
              <w:rPr>
                <w:rFonts w:cs="Arial"/>
                <w:sz w:val="28"/>
                <w:szCs w:val="28"/>
              </w:rPr>
            </w:pPr>
          </w:p>
          <w:p>
            <w:pPr>
              <w:spacing w:line="360" w:lineRule="auto"/>
              <w:jc w:val="both"/>
              <w:rPr>
                <w:rFonts w:cs="Arial"/>
                <w:b/>
                <w:sz w:val="28"/>
                <w:szCs w:val="28"/>
              </w:rPr>
            </w:pPr>
            <w:r>
              <w:rPr>
                <w:rFonts w:cs="Arial"/>
                <w:b/>
                <w:sz w:val="28"/>
                <w:szCs w:val="28"/>
              </w:rPr>
              <w:t>Antwort</w:t>
            </w:r>
          </w:p>
          <w:p>
            <w:pPr>
              <w:pStyle w:val="Listenabsatz"/>
              <w:spacing w:before="0" w:after="0" w:line="276" w:lineRule="auto"/>
              <w:ind w:left="0"/>
              <w:rPr>
                <w:rFonts w:eastAsia="Times New Roman" w:cs="Arial"/>
                <w:sz w:val="28"/>
                <w:szCs w:val="28"/>
                <w:lang w:eastAsia="de-DE"/>
              </w:rPr>
            </w:pPr>
            <w:r>
              <w:rPr>
                <w:rFonts w:cs="Arial"/>
                <w:i/>
                <w:sz w:val="28"/>
                <w:szCs w:val="28"/>
              </w:rPr>
              <w:t>Im Jahr 2020 fanden 111 Sozialbestattungen statt. In 2021 waren es bisher 56 Sozialbestattungen.</w:t>
            </w:r>
          </w:p>
          <w:p>
            <w:pPr>
              <w:jc w:val="both"/>
              <w:rPr>
                <w:rFonts w:cs="Arial"/>
                <w:b/>
                <w:sz w:val="28"/>
                <w:szCs w:val="28"/>
              </w:rPr>
            </w:pPr>
          </w:p>
        </w:tc>
        <w:tc>
          <w:tcPr>
            <w:tcW w:w="8622" w:type="dxa"/>
          </w:tcPr>
          <w:p>
            <w:pPr>
              <w:spacing w:line="360" w:lineRule="auto"/>
              <w:jc w:val="both"/>
              <w:rPr>
                <w:rFonts w:cs="Arial"/>
                <w:i/>
                <w:sz w:val="28"/>
                <w:szCs w:val="28"/>
              </w:rPr>
            </w:pPr>
            <w:r>
              <w:rPr>
                <w:rFonts w:cs="Arial"/>
                <w:i/>
                <w:sz w:val="28"/>
                <w:szCs w:val="28"/>
              </w:rPr>
              <w:t xml:space="preserve"> </w:t>
            </w:r>
          </w:p>
        </w:tc>
      </w:tr>
    </w:tbl>
    <w:p>
      <w:pPr>
        <w:jc w:val="both"/>
        <w:rPr>
          <w:rFonts w:cs="Arial"/>
        </w:rPr>
      </w:pPr>
      <w:r>
        <w:rPr>
          <w:rFonts w:cs="Arial"/>
        </w:rPr>
        <w:t xml:space="preserve">Vielen Dank für Ihre Aufmerksamkeit! </w:t>
      </w:r>
    </w:p>
    <w:p>
      <w:pPr>
        <w:jc w:val="both"/>
        <w:rPr>
          <w:rFonts w:cs="Arial"/>
        </w:rPr>
      </w:pPr>
    </w:p>
    <w:p>
      <w:pPr>
        <w:rPr>
          <w:rFonts w:cs="Arial"/>
        </w:rPr>
      </w:pPr>
      <w:r>
        <w:rPr>
          <w:rFonts w:cs="Arial"/>
        </w:rPr>
        <w:t>Berlin, den 23.06.2021</w:t>
      </w:r>
    </w:p>
    <w:p>
      <w:pPr>
        <w:rPr>
          <w:rFonts w:cs="Arial"/>
        </w:rPr>
      </w:pPr>
    </w:p>
    <w:p>
      <w:pPr>
        <w:rPr>
          <w:rFonts w:cs="Arial"/>
        </w:rPr>
      </w:pPr>
    </w:p>
    <w:p>
      <w:pPr>
        <w:rPr>
          <w:rFonts w:cs="Arial"/>
        </w:rPr>
      </w:pPr>
    </w:p>
    <w:p>
      <w:pPr>
        <w:rPr>
          <w:rFonts w:cs="Arial"/>
        </w:rPr>
      </w:pPr>
      <w:r>
        <w:rPr>
          <w:rFonts w:cs="Arial"/>
        </w:rPr>
        <w:t>Matthias Steuckardt</w:t>
      </w:r>
    </w:p>
    <w:p>
      <w:pPr>
        <w:rPr>
          <w:rFonts w:cs="Arial"/>
        </w:rPr>
      </w:pPr>
      <w:r>
        <w:rPr>
          <w:rFonts w:cs="Arial"/>
        </w:rPr>
        <w:t>Bezirksstadtrat</w:t>
      </w:r>
    </w:p>
    <w:sectPr>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center"/>
    </w:pPr>
    <w:r>
      <w:t>!!!Es gilt das gesprochene Wort!!!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741C"/>
    <w:multiLevelType w:val="hybridMultilevel"/>
    <w:tmpl w:val="41664D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AE43B5"/>
    <w:multiLevelType w:val="hybridMultilevel"/>
    <w:tmpl w:val="1696D7B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E32021"/>
    <w:multiLevelType w:val="hybridMultilevel"/>
    <w:tmpl w:val="1696D7B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F2D695C"/>
    <w:multiLevelType w:val="hybridMultilevel"/>
    <w:tmpl w:val="1696D7B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E186968"/>
    <w:multiLevelType w:val="hybridMultilevel"/>
    <w:tmpl w:val="1696D7B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745B5FF4-671E-46D7-9803-C65B2E04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spacing w:before="120" w:after="120"/>
      <w:ind w:left="720"/>
      <w:contextualSpacing/>
    </w:pPr>
    <w:rPr>
      <w:rFonts w:eastAsia="Calibri"/>
      <w:sz w:val="22"/>
      <w:szCs w:val="22"/>
      <w:lang w:eastAsia="en-US"/>
    </w:rPr>
  </w:style>
  <w:style w:type="paragraph" w:styleId="Sprechblasentext">
    <w:name w:val="Balloon Text"/>
    <w:basedOn w:val="Standard"/>
    <w:link w:val="SprechblasentextZchn"/>
    <w:rPr>
      <w:rFonts w:ascii="Segoe UI" w:hAnsi="Segoe UI" w:cs="Segoe UI"/>
      <w:sz w:val="18"/>
      <w:szCs w:val="18"/>
    </w:rPr>
  </w:style>
  <w:style w:type="character" w:customStyle="1" w:styleId="SprechblasentextZchn">
    <w:name w:val="Sprechblasentext Zchn"/>
    <w:link w:val="Sprechblasentext"/>
    <w:rPr>
      <w:rFonts w:ascii="Segoe UI" w:hAnsi="Segoe UI" w:cs="Segoe UI"/>
      <w:sz w:val="18"/>
      <w:szCs w:val="18"/>
    </w:rPr>
  </w:style>
  <w:style w:type="paragraph" w:styleId="NurText">
    <w:name w:val="Plain Text"/>
    <w:basedOn w:val="Standard"/>
    <w:link w:val="NurTextZchn"/>
    <w:uiPriority w:val="99"/>
    <w:unhideWhenUsed/>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0514">
      <w:bodyDiv w:val="1"/>
      <w:marLeft w:val="0"/>
      <w:marRight w:val="0"/>
      <w:marTop w:val="0"/>
      <w:marBottom w:val="0"/>
      <w:divBdr>
        <w:top w:val="none" w:sz="0" w:space="0" w:color="auto"/>
        <w:left w:val="none" w:sz="0" w:space="0" w:color="auto"/>
        <w:bottom w:val="none" w:sz="0" w:space="0" w:color="auto"/>
        <w:right w:val="none" w:sz="0" w:space="0" w:color="auto"/>
      </w:divBdr>
    </w:div>
    <w:div w:id="97529511">
      <w:bodyDiv w:val="1"/>
      <w:marLeft w:val="0"/>
      <w:marRight w:val="0"/>
      <w:marTop w:val="0"/>
      <w:marBottom w:val="0"/>
      <w:divBdr>
        <w:top w:val="none" w:sz="0" w:space="0" w:color="auto"/>
        <w:left w:val="none" w:sz="0" w:space="0" w:color="auto"/>
        <w:bottom w:val="none" w:sz="0" w:space="0" w:color="auto"/>
        <w:right w:val="none" w:sz="0" w:space="0" w:color="auto"/>
      </w:divBdr>
    </w:div>
    <w:div w:id="163515595">
      <w:bodyDiv w:val="1"/>
      <w:marLeft w:val="0"/>
      <w:marRight w:val="0"/>
      <w:marTop w:val="0"/>
      <w:marBottom w:val="0"/>
      <w:divBdr>
        <w:top w:val="none" w:sz="0" w:space="0" w:color="auto"/>
        <w:left w:val="none" w:sz="0" w:space="0" w:color="auto"/>
        <w:bottom w:val="none" w:sz="0" w:space="0" w:color="auto"/>
        <w:right w:val="none" w:sz="0" w:space="0" w:color="auto"/>
      </w:divBdr>
    </w:div>
    <w:div w:id="290672131">
      <w:bodyDiv w:val="1"/>
      <w:marLeft w:val="0"/>
      <w:marRight w:val="0"/>
      <w:marTop w:val="0"/>
      <w:marBottom w:val="0"/>
      <w:divBdr>
        <w:top w:val="none" w:sz="0" w:space="0" w:color="auto"/>
        <w:left w:val="none" w:sz="0" w:space="0" w:color="auto"/>
        <w:bottom w:val="none" w:sz="0" w:space="0" w:color="auto"/>
        <w:right w:val="none" w:sz="0" w:space="0" w:color="auto"/>
      </w:divBdr>
    </w:div>
    <w:div w:id="482625081">
      <w:bodyDiv w:val="1"/>
      <w:marLeft w:val="0"/>
      <w:marRight w:val="0"/>
      <w:marTop w:val="0"/>
      <w:marBottom w:val="0"/>
      <w:divBdr>
        <w:top w:val="none" w:sz="0" w:space="0" w:color="auto"/>
        <w:left w:val="none" w:sz="0" w:space="0" w:color="auto"/>
        <w:bottom w:val="none" w:sz="0" w:space="0" w:color="auto"/>
        <w:right w:val="none" w:sz="0" w:space="0" w:color="auto"/>
      </w:divBdr>
    </w:div>
    <w:div w:id="1005785339">
      <w:bodyDiv w:val="1"/>
      <w:marLeft w:val="0"/>
      <w:marRight w:val="0"/>
      <w:marTop w:val="0"/>
      <w:marBottom w:val="0"/>
      <w:divBdr>
        <w:top w:val="none" w:sz="0" w:space="0" w:color="auto"/>
        <w:left w:val="none" w:sz="0" w:space="0" w:color="auto"/>
        <w:bottom w:val="none" w:sz="0" w:space="0" w:color="auto"/>
        <w:right w:val="none" w:sz="0" w:space="0" w:color="auto"/>
      </w:divBdr>
    </w:div>
    <w:div w:id="1055739451">
      <w:bodyDiv w:val="1"/>
      <w:marLeft w:val="0"/>
      <w:marRight w:val="0"/>
      <w:marTop w:val="0"/>
      <w:marBottom w:val="0"/>
      <w:divBdr>
        <w:top w:val="none" w:sz="0" w:space="0" w:color="auto"/>
        <w:left w:val="none" w:sz="0" w:space="0" w:color="auto"/>
        <w:bottom w:val="none" w:sz="0" w:space="0" w:color="auto"/>
        <w:right w:val="none" w:sz="0" w:space="0" w:color="auto"/>
      </w:divBdr>
    </w:div>
    <w:div w:id="1068453581">
      <w:bodyDiv w:val="1"/>
      <w:marLeft w:val="0"/>
      <w:marRight w:val="0"/>
      <w:marTop w:val="0"/>
      <w:marBottom w:val="0"/>
      <w:divBdr>
        <w:top w:val="none" w:sz="0" w:space="0" w:color="auto"/>
        <w:left w:val="none" w:sz="0" w:space="0" w:color="auto"/>
        <w:bottom w:val="none" w:sz="0" w:space="0" w:color="auto"/>
        <w:right w:val="none" w:sz="0" w:space="0" w:color="auto"/>
      </w:divBdr>
    </w:div>
    <w:div w:id="1071317393">
      <w:bodyDiv w:val="1"/>
      <w:marLeft w:val="0"/>
      <w:marRight w:val="0"/>
      <w:marTop w:val="0"/>
      <w:marBottom w:val="0"/>
      <w:divBdr>
        <w:top w:val="none" w:sz="0" w:space="0" w:color="auto"/>
        <w:left w:val="none" w:sz="0" w:space="0" w:color="auto"/>
        <w:bottom w:val="none" w:sz="0" w:space="0" w:color="auto"/>
        <w:right w:val="none" w:sz="0" w:space="0" w:color="auto"/>
      </w:divBdr>
    </w:div>
    <w:div w:id="1137378300">
      <w:bodyDiv w:val="1"/>
      <w:marLeft w:val="0"/>
      <w:marRight w:val="0"/>
      <w:marTop w:val="0"/>
      <w:marBottom w:val="0"/>
      <w:divBdr>
        <w:top w:val="none" w:sz="0" w:space="0" w:color="auto"/>
        <w:left w:val="none" w:sz="0" w:space="0" w:color="auto"/>
        <w:bottom w:val="none" w:sz="0" w:space="0" w:color="auto"/>
        <w:right w:val="none" w:sz="0" w:space="0" w:color="auto"/>
      </w:divBdr>
    </w:div>
    <w:div w:id="1182471467">
      <w:bodyDiv w:val="1"/>
      <w:marLeft w:val="0"/>
      <w:marRight w:val="0"/>
      <w:marTop w:val="0"/>
      <w:marBottom w:val="0"/>
      <w:divBdr>
        <w:top w:val="none" w:sz="0" w:space="0" w:color="auto"/>
        <w:left w:val="none" w:sz="0" w:space="0" w:color="auto"/>
        <w:bottom w:val="none" w:sz="0" w:space="0" w:color="auto"/>
        <w:right w:val="none" w:sz="0" w:space="0" w:color="auto"/>
      </w:divBdr>
    </w:div>
    <w:div w:id="1384064674">
      <w:bodyDiv w:val="1"/>
      <w:marLeft w:val="0"/>
      <w:marRight w:val="0"/>
      <w:marTop w:val="0"/>
      <w:marBottom w:val="0"/>
      <w:divBdr>
        <w:top w:val="none" w:sz="0" w:space="0" w:color="auto"/>
        <w:left w:val="none" w:sz="0" w:space="0" w:color="auto"/>
        <w:bottom w:val="none" w:sz="0" w:space="0" w:color="auto"/>
        <w:right w:val="none" w:sz="0" w:space="0" w:color="auto"/>
      </w:divBdr>
    </w:div>
    <w:div w:id="1556118098">
      <w:bodyDiv w:val="1"/>
      <w:marLeft w:val="0"/>
      <w:marRight w:val="0"/>
      <w:marTop w:val="0"/>
      <w:marBottom w:val="0"/>
      <w:divBdr>
        <w:top w:val="none" w:sz="0" w:space="0" w:color="auto"/>
        <w:left w:val="none" w:sz="0" w:space="0" w:color="auto"/>
        <w:bottom w:val="none" w:sz="0" w:space="0" w:color="auto"/>
        <w:right w:val="none" w:sz="0" w:space="0" w:color="auto"/>
      </w:divBdr>
    </w:div>
    <w:div w:id="1669866404">
      <w:bodyDiv w:val="1"/>
      <w:marLeft w:val="0"/>
      <w:marRight w:val="0"/>
      <w:marTop w:val="0"/>
      <w:marBottom w:val="0"/>
      <w:divBdr>
        <w:top w:val="none" w:sz="0" w:space="0" w:color="auto"/>
        <w:left w:val="none" w:sz="0" w:space="0" w:color="auto"/>
        <w:bottom w:val="none" w:sz="0" w:space="0" w:color="auto"/>
        <w:right w:val="none" w:sz="0" w:space="0" w:color="auto"/>
      </w:divBdr>
    </w:div>
    <w:div w:id="1846244129">
      <w:bodyDiv w:val="1"/>
      <w:marLeft w:val="0"/>
      <w:marRight w:val="0"/>
      <w:marTop w:val="0"/>
      <w:marBottom w:val="0"/>
      <w:divBdr>
        <w:top w:val="none" w:sz="0" w:space="0" w:color="auto"/>
        <w:left w:val="none" w:sz="0" w:space="0" w:color="auto"/>
        <w:bottom w:val="none" w:sz="0" w:space="0" w:color="auto"/>
        <w:right w:val="none" w:sz="0" w:space="0" w:color="auto"/>
      </w:divBdr>
    </w:div>
    <w:div w:id="2073651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2359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Mündliche Anfrage Tempelhof bleibt Verkehrsflughafen die Zweite</vt:lpstr>
    </vt:vector>
  </TitlesOfParts>
  <Company>Bezirksamt Tempelhof-Schöneberg von Berlin</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Mündliche Anfrage Tempelhof bleibt Verkehrsflughafen die Zweite</dc:title>
  <dc:subject/>
  <dc:creator>Oliver Theel</dc:creator>
  <cp:keywords/>
  <cp:lastModifiedBy>Maximilian, Müller</cp:lastModifiedBy>
  <cp:revision>6</cp:revision>
  <cp:lastPrinted>2021-06-23T09:54:00Z</cp:lastPrinted>
  <dcterms:created xsi:type="dcterms:W3CDTF">2021-06-22T13:40:00Z</dcterms:created>
  <dcterms:modified xsi:type="dcterms:W3CDTF">2021-06-23T10:13:00Z</dcterms:modified>
</cp:coreProperties>
</file>