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4"/>
        <w:tblW w:w="9889" w:type="dxa"/>
        <w:tblCellMar>
          <w:left w:w="0" w:type="dxa"/>
          <w:bottom w:w="567" w:type="dxa"/>
          <w:right w:w="0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6859"/>
        <w:gridCol w:w="30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9" w:type="dxa"/>
          </w:tcPr>
          <w:p>
            <w:pPr>
              <w:pStyle w:val="BAT-S"/>
            </w:pPr>
            <w:r>
              <w:t>Bezirksamt Tempelhof-Schöneberg von Berlin</w:t>
            </w:r>
          </w:p>
          <w:p>
            <w:pPr>
              <w:pStyle w:val="Abteilung"/>
            </w:pPr>
            <w:r>
              <w:t xml:space="preserve">Abteilung </w:t>
            </w:r>
            <w:r>
              <w:rPr>
                <w:rStyle w:val="AbteilungZchn"/>
              </w:rPr>
              <w:t>Finanzen, Personal und Wirtschaftsförderung</w:t>
            </w:r>
          </w:p>
          <w:p>
            <w:pPr>
              <w:pStyle w:val="OESE"/>
            </w:pPr>
          </w:p>
        </w:tc>
        <w:tc>
          <w:tcPr>
            <w:tcW w:w="3030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32400" cy="1069200"/>
                  <wp:effectExtent l="0" t="0" r="0" b="0"/>
                  <wp:docPr id="4" name="Grafik 4" descr="Logo Berlin mit Bär und Bezirksamt Tempelhof-Schöneberg mit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_BA_W_TESC_Logo_DE_V_PW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rStyle w:val="Hervorhebung"/>
          <w:sz w:val="28"/>
          <w:szCs w:val="28"/>
        </w:rPr>
      </w:pPr>
    </w:p>
    <w:p>
      <w:pPr>
        <w:jc w:val="center"/>
        <w:rPr>
          <w:rStyle w:val="Hervorhebung"/>
          <w:sz w:val="28"/>
          <w:szCs w:val="28"/>
        </w:rPr>
      </w:pPr>
      <w:r>
        <w:rPr>
          <w:rStyle w:val="Hervorhebung"/>
          <w:sz w:val="28"/>
          <w:szCs w:val="28"/>
        </w:rPr>
        <w:t>Es gilt das gesprochene Wort</w:t>
      </w:r>
    </w:p>
    <w:p/>
    <w:p>
      <w:r>
        <w:t>52. Sitzung der Bezirksverordnetenversammlung Tempelhof-Schöneberg von Berlin am 19.05.2021</w:t>
      </w:r>
    </w:p>
    <w:p/>
    <w:p>
      <w:pPr>
        <w:pStyle w:val="Titel"/>
        <w:rPr>
          <w:rStyle w:val="TitelZchn"/>
        </w:rPr>
      </w:pPr>
      <w:r>
        <w:rPr>
          <w:rStyle w:val="TitelZchn"/>
        </w:rPr>
        <w:t>Mündliche Anfrage des BV Elisabeth Wissel (Die LINKE)</w:t>
      </w:r>
    </w:p>
    <w:p/>
    <w:p>
      <w:pPr>
        <w:pStyle w:val="berschrift2"/>
        <w:rPr>
          <w:rStyle w:val="TitelZchn"/>
          <w:sz w:val="28"/>
        </w:rPr>
      </w:pPr>
      <w:r>
        <w:rPr>
          <w:rStyle w:val="TitelZchn"/>
          <w:sz w:val="28"/>
        </w:rPr>
        <w:t>Nr. 13 Verbleib der Container auf dem Tempelhofer Feld</w:t>
      </w:r>
    </w:p>
    <w:p>
      <w:pPr>
        <w:pStyle w:val="Titel"/>
        <w:rPr>
          <w:rStyle w:val="TitelZchn"/>
          <w:sz w:val="28"/>
          <w:szCs w:val="28"/>
        </w:rPr>
      </w:pPr>
    </w:p>
    <w:p>
      <w:pPr>
        <w:spacing w:before="0" w:after="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Zunächst möchte ich mich bei der Senatsverwaltung für Integration, Arbeit und Soziales für die Zuarbeit bedanken.</w:t>
      </w:r>
    </w:p>
    <w:p>
      <w:pPr>
        <w:pStyle w:val="Titel"/>
        <w:rPr>
          <w:sz w:val="28"/>
          <w:szCs w:val="28"/>
        </w:rPr>
      </w:pPr>
      <w:r>
        <w:rPr>
          <w:rStyle w:val="TitelZchn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>
      <w:pPr>
        <w:pStyle w:val="berschrift1nummeriert"/>
      </w:pPr>
      <w:r>
        <w:t>Frage</w:t>
      </w:r>
    </w:p>
    <w:p>
      <w:pPr>
        <w:spacing w:line="360" w:lineRule="auto"/>
      </w:pPr>
      <w:r>
        <w:t>Wie lange sind die Container, die zur Unterbringung für Geflüchtete genutzt wurden, nicht mehr in Betrieb?</w:t>
      </w:r>
    </w:p>
    <w:p/>
    <w:p/>
    <w:p>
      <w:pPr>
        <w:pStyle w:val="berschrift2"/>
      </w:pPr>
      <w:r>
        <w:lastRenderedPageBreak/>
        <w:t>Antwort</w:t>
      </w:r>
    </w:p>
    <w:p>
      <w:pPr>
        <w:spacing w:before="0" w:after="0" w:line="360" w:lineRule="auto"/>
      </w:pPr>
      <w:r>
        <w:t xml:space="preserve">Hierzu antwortet die Senatsverwaltung für Integration, Arbeit und Soziales, dass der Freizug der Tempohome im Columbiadamm am 15.06.2019 mit dem Ziel </w:t>
      </w:r>
      <w:r>
        <w:t>erfolgte</w:t>
      </w:r>
      <w:r>
        <w:t>, die</w:t>
      </w:r>
    </w:p>
    <w:p>
      <w:pPr>
        <w:spacing w:before="0" w:after="0" w:line="360" w:lineRule="auto"/>
      </w:pPr>
      <w:r>
        <w:t>Tempohome zurückzubauen. Aufgrund des Senatsbeschlusses zur Aufnahme von</w:t>
      </w:r>
    </w:p>
    <w:p>
      <w:pPr>
        <w:spacing w:before="0" w:after="0" w:line="360" w:lineRule="auto"/>
      </w:pPr>
      <w:r>
        <w:t>Geflüchteten aus griechischen Lagern vom 17.03.2020 wurde der Standort für die</w:t>
      </w:r>
    </w:p>
    <w:p>
      <w:pPr>
        <w:spacing w:before="0" w:after="0" w:line="360" w:lineRule="auto"/>
      </w:pPr>
      <w:r>
        <w:t>Unterbringung von Geflüchteten vorbereitet. Es wurden zwei Abschnitte eingerichtet, die umgehend genutzt werden können, sobald die Zustimmung des Bezirksamtes hierzu vorliegt.</w:t>
      </w:r>
    </w:p>
    <w:p>
      <w:pPr>
        <w:spacing w:before="0" w:after="0" w:line="360" w:lineRule="auto"/>
      </w:pPr>
    </w:p>
    <w:p>
      <w:pPr>
        <w:spacing w:before="0" w:after="0" w:line="360" w:lineRule="auto"/>
      </w:pPr>
      <w:r>
        <w:t xml:space="preserve">Der Dezernent für Jugend, Umwelt, Gesundheit, Schule und Sport Herr Schworck </w:t>
      </w:r>
      <w:r>
        <w:t>ergänzt</w:t>
      </w:r>
      <w:r>
        <w:t xml:space="preserve"> hierzu</w:t>
      </w:r>
      <w:r>
        <w:t>, dass es v</w:t>
      </w:r>
      <w:r>
        <w:t>or einer Belegung allerdings noch der Zustimmung des Gesundheitsamts</w:t>
      </w:r>
      <w:r>
        <w:t xml:space="preserve"> </w:t>
      </w:r>
      <w:r>
        <w:t>bedarf. Die Wiederinbetriebnahme der Trinkwasseranlage kann erst erfolgen, wenn anhand von geeigneten Untersuchungen eine gesundheitliche Gefährdung für die Bewohner_innen ausgeschlossen werden kann. Die Untersuchungen sind noch nicht abgeschlossen.</w:t>
      </w:r>
      <w:r>
        <w:t xml:space="preserve"> </w:t>
      </w:r>
      <w:r>
        <w:t>Die Verantwortung, alle erforderlichen Unterlagen vorzulegen, liegt bei SenIAS.</w:t>
      </w:r>
    </w:p>
    <w:p>
      <w:pPr>
        <w:spacing w:before="0" w:after="0" w:line="240" w:lineRule="auto"/>
      </w:pPr>
    </w:p>
    <w:p>
      <w:pPr>
        <w:pStyle w:val="berschrift1nummeriert"/>
      </w:pPr>
      <w:r>
        <w:t>Frage</w:t>
      </w:r>
    </w:p>
    <w:p>
      <w:r>
        <w:t>Gibt es einen Zeitplan, wann die Container wieder abgebaut werden?</w:t>
      </w:r>
    </w:p>
    <w:p>
      <w:pPr>
        <w:rPr>
          <w:lang w:eastAsia="de-DE"/>
        </w:rPr>
      </w:pPr>
    </w:p>
    <w:p>
      <w:pPr>
        <w:pStyle w:val="berschrift2"/>
      </w:pPr>
      <w:r>
        <w:t>Antwort</w:t>
      </w:r>
    </w:p>
    <w:p>
      <w:pPr>
        <w:spacing w:line="360" w:lineRule="auto"/>
      </w:pPr>
      <w:r>
        <w:t>Hierzu antwortet die Senatsverwaltung für Integration, Arbeit und Soziales wie folgt:</w:t>
      </w:r>
    </w:p>
    <w:p>
      <w:pPr>
        <w:spacing w:line="360" w:lineRule="auto"/>
      </w:pPr>
      <w:r>
        <w:t xml:space="preserve"> „Der Rückbau der Tempohome im Columbiadamm wird zu Ende 2022 geplant. Es wird mit einer Rückbauzeit von neun bis zwölf Monaten gerechnet.“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>
      <w:pPr>
        <w:pStyle w:val="berschrift1"/>
      </w:pPr>
      <w:r>
        <w:lastRenderedPageBreak/>
        <w:t>Nachfragen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>
      <w:pPr>
        <w:pStyle w:val="berschrift1nummeriert"/>
        <w:numPr>
          <w:ilvl w:val="0"/>
          <w:numId w:val="49"/>
        </w:numPr>
      </w:pPr>
      <w:r>
        <w:t>Frage</w:t>
      </w:r>
    </w:p>
    <w:p>
      <w:r>
        <w:t>Sind diese Container für eine Nachnutzung an anderer Stelle vorgesehen, wenn ja, wo?</w:t>
      </w:r>
    </w:p>
    <w:p>
      <w:pPr>
        <w:rPr>
          <w:rFonts w:ascii="Calibri" w:eastAsia="Calibri" w:hAnsi="Calibri" w:cs="Calibri"/>
        </w:rPr>
      </w:pPr>
    </w:p>
    <w:p>
      <w:pPr>
        <w:pStyle w:val="berschrift2"/>
      </w:pPr>
      <w:r>
        <w:t>Antwort</w:t>
      </w:r>
    </w:p>
    <w:p>
      <w:pPr>
        <w:spacing w:after="12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Hierzu antwortet die Senatsverwaltung für Integration, Arbeit und Soziales wie folgt:</w:t>
      </w:r>
    </w:p>
    <w:p>
      <w:pPr>
        <w:spacing w:line="360" w:lineRule="auto"/>
      </w:pPr>
      <w:r>
        <w:t xml:space="preserve">Soweit die Anfrage die Nachnutzung die Container selbst betrifft, kann der Bezirk sich für weitere Abstimmung zur Eignung und weiteren Verwendung an die BIM GmbH wenden. </w:t>
      </w:r>
    </w:p>
    <w:p/>
    <w:p>
      <w:pPr>
        <w:rPr>
          <w:lang w:eastAsia="de-DE"/>
        </w:rPr>
      </w:pPr>
    </w:p>
    <w:p>
      <w:pPr>
        <w:pStyle w:val="berschrift1nummeriert"/>
        <w:numPr>
          <w:ilvl w:val="0"/>
          <w:numId w:val="49"/>
        </w:numPr>
      </w:pPr>
      <w:r>
        <w:t>Frage</w:t>
      </w:r>
    </w:p>
    <w:p>
      <w:r>
        <w:t>Welche Kosten verursacht die derzeitige Nichtnutzung im Monat?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>
      <w:pPr>
        <w:pStyle w:val="berschrift2"/>
      </w:pPr>
      <w:r>
        <w:t>Antwort</w:t>
      </w:r>
    </w:p>
    <w:p>
      <w:pPr>
        <w:spacing w:after="12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Hierzu antwortet die Senatsverwaltung für Integration, Arbeit und Soziales wie folgt:</w:t>
      </w:r>
    </w:p>
    <w:p>
      <w:pPr>
        <w:spacing w:after="120" w:line="360" w:lineRule="auto"/>
      </w:pPr>
      <w:r>
        <w:t>„Es fallen derzeit monatliche Kosten für die laufende bauliche Instandsetzung und bauliche</w:t>
      </w:r>
    </w:p>
    <w:p>
      <w:pPr>
        <w:spacing w:after="120" w:line="360" w:lineRule="auto"/>
      </w:pPr>
      <w:r>
        <w:t>Instandhaltung sowie Vorauszahlungen auf Betriebs- und Nebenkosten an. Darüber hinaus</w:t>
      </w:r>
    </w:p>
    <w:p>
      <w:pPr>
        <w:spacing w:after="120" w:line="360" w:lineRule="auto"/>
      </w:pPr>
      <w:r>
        <w:t>fallen Managementkosten an, die für den Erhalt der Betriebsfähigkeit der Tempohome</w:t>
      </w:r>
    </w:p>
    <w:p>
      <w:pPr>
        <w:spacing w:after="120" w:line="360" w:lineRule="auto"/>
      </w:pPr>
      <w:r>
        <w:t>erforderlich sind.“</w:t>
      </w:r>
    </w:p>
    <w:p>
      <w:pPr>
        <w:spacing w:after="120"/>
      </w:pPr>
      <w:bookmarkStart w:id="0" w:name="_GoBack"/>
      <w:bookmarkEnd w:id="0"/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418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06"/>
      <w:docPartObj>
        <w:docPartGallery w:val="Page Numbers (Top of Page)"/>
        <w:docPartUnique/>
      </w:docPartObj>
    </w:sdtPr>
    <w:sdtContent>
      <w:p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C01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12A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4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E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E1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2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A4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A11DD3"/>
    <w:multiLevelType w:val="hybridMultilevel"/>
    <w:tmpl w:val="2C1C97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E80714"/>
    <w:multiLevelType w:val="multilevel"/>
    <w:tmpl w:val="AA806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87F2D9B"/>
    <w:multiLevelType w:val="multilevel"/>
    <w:tmpl w:val="6D9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41B31" w:themeColor="accent1"/>
        <w:u w:color="C41B3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48D096C"/>
    <w:multiLevelType w:val="hybridMultilevel"/>
    <w:tmpl w:val="0D5E3890"/>
    <w:lvl w:ilvl="0" w:tplc="4C000C00">
      <w:start w:val="1"/>
      <w:numFmt w:val="decimal"/>
      <w:lvlText w:val="%1."/>
      <w:lvlJc w:val="left"/>
      <w:pPr>
        <w:ind w:left="720" w:hanging="360"/>
      </w:pPr>
    </w:lvl>
    <w:lvl w:ilvl="1" w:tplc="C046DAEE" w:tentative="1">
      <w:start w:val="1"/>
      <w:numFmt w:val="lowerLetter"/>
      <w:lvlText w:val="%2."/>
      <w:lvlJc w:val="left"/>
      <w:pPr>
        <w:ind w:left="1440" w:hanging="360"/>
      </w:pPr>
    </w:lvl>
    <w:lvl w:ilvl="2" w:tplc="57F47ECE" w:tentative="1">
      <w:start w:val="1"/>
      <w:numFmt w:val="lowerRoman"/>
      <w:lvlText w:val="%3."/>
      <w:lvlJc w:val="right"/>
      <w:pPr>
        <w:ind w:left="2160" w:hanging="180"/>
      </w:pPr>
    </w:lvl>
    <w:lvl w:ilvl="3" w:tplc="0E4243B2" w:tentative="1">
      <w:start w:val="1"/>
      <w:numFmt w:val="decimal"/>
      <w:lvlText w:val="%4."/>
      <w:lvlJc w:val="left"/>
      <w:pPr>
        <w:ind w:left="2880" w:hanging="360"/>
      </w:pPr>
    </w:lvl>
    <w:lvl w:ilvl="4" w:tplc="98600B4E" w:tentative="1">
      <w:start w:val="1"/>
      <w:numFmt w:val="lowerLetter"/>
      <w:lvlText w:val="%5."/>
      <w:lvlJc w:val="left"/>
      <w:pPr>
        <w:ind w:left="3600" w:hanging="360"/>
      </w:pPr>
    </w:lvl>
    <w:lvl w:ilvl="5" w:tplc="020271B0" w:tentative="1">
      <w:start w:val="1"/>
      <w:numFmt w:val="lowerRoman"/>
      <w:lvlText w:val="%6."/>
      <w:lvlJc w:val="right"/>
      <w:pPr>
        <w:ind w:left="4320" w:hanging="180"/>
      </w:pPr>
    </w:lvl>
    <w:lvl w:ilvl="6" w:tplc="F62EE4D6" w:tentative="1">
      <w:start w:val="1"/>
      <w:numFmt w:val="decimal"/>
      <w:lvlText w:val="%7."/>
      <w:lvlJc w:val="left"/>
      <w:pPr>
        <w:ind w:left="5040" w:hanging="360"/>
      </w:pPr>
    </w:lvl>
    <w:lvl w:ilvl="7" w:tplc="938CE16E" w:tentative="1">
      <w:start w:val="1"/>
      <w:numFmt w:val="lowerLetter"/>
      <w:lvlText w:val="%8."/>
      <w:lvlJc w:val="left"/>
      <w:pPr>
        <w:ind w:left="5760" w:hanging="360"/>
      </w:pPr>
    </w:lvl>
    <w:lvl w:ilvl="8" w:tplc="F616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C7A05"/>
    <w:multiLevelType w:val="hybridMultilevel"/>
    <w:tmpl w:val="9DA0B18E"/>
    <w:lvl w:ilvl="0" w:tplc="004A8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940EEF"/>
    <w:multiLevelType w:val="multilevel"/>
    <w:tmpl w:val="E5220A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6400"/>
    <w:multiLevelType w:val="hybridMultilevel"/>
    <w:tmpl w:val="0FDCF07E"/>
    <w:lvl w:ilvl="0" w:tplc="8548A6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B6B45"/>
    <w:multiLevelType w:val="hybridMultilevel"/>
    <w:tmpl w:val="EEEC7810"/>
    <w:lvl w:ilvl="0" w:tplc="719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F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EC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42E1D"/>
    <w:multiLevelType w:val="hybridMultilevel"/>
    <w:tmpl w:val="FB8CC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2A8A"/>
    <w:multiLevelType w:val="hybridMultilevel"/>
    <w:tmpl w:val="373EA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30E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C41B31" w:themeColor="accent1"/>
        <w:u w:color="C41B31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C41B31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C41B31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C41B31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C41B31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C41B31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C41B31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C41B31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C41B31" w:themeColor="accent1"/>
      </w:rPr>
    </w:lvl>
  </w:abstractNum>
  <w:abstractNum w:abstractNumId="22" w15:restartNumberingAfterBreak="0">
    <w:nsid w:val="39495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184A54"/>
    <w:multiLevelType w:val="multilevel"/>
    <w:tmpl w:val="7F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1B42B3"/>
    <w:multiLevelType w:val="hybridMultilevel"/>
    <w:tmpl w:val="439AF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F13961"/>
    <w:multiLevelType w:val="multilevel"/>
    <w:tmpl w:val="E0DE42D0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521F3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033C6E"/>
    <w:multiLevelType w:val="hybridMultilevel"/>
    <w:tmpl w:val="C6AE8D98"/>
    <w:lvl w:ilvl="0" w:tplc="C00AD1C6">
      <w:start w:val="1"/>
      <w:numFmt w:val="decimal"/>
      <w:lvlText w:val="%1."/>
      <w:lvlJc w:val="left"/>
      <w:pPr>
        <w:ind w:left="720" w:hanging="360"/>
      </w:pPr>
    </w:lvl>
    <w:lvl w:ilvl="1" w:tplc="5518E164" w:tentative="1">
      <w:start w:val="1"/>
      <w:numFmt w:val="lowerLetter"/>
      <w:lvlText w:val="%2."/>
      <w:lvlJc w:val="left"/>
      <w:pPr>
        <w:ind w:left="1440" w:hanging="360"/>
      </w:pPr>
    </w:lvl>
    <w:lvl w:ilvl="2" w:tplc="3F7284A0" w:tentative="1">
      <w:start w:val="1"/>
      <w:numFmt w:val="lowerRoman"/>
      <w:lvlText w:val="%3."/>
      <w:lvlJc w:val="right"/>
      <w:pPr>
        <w:ind w:left="2160" w:hanging="180"/>
      </w:pPr>
    </w:lvl>
    <w:lvl w:ilvl="3" w:tplc="902425DC" w:tentative="1">
      <w:start w:val="1"/>
      <w:numFmt w:val="decimal"/>
      <w:lvlText w:val="%4."/>
      <w:lvlJc w:val="left"/>
      <w:pPr>
        <w:ind w:left="2880" w:hanging="360"/>
      </w:pPr>
    </w:lvl>
    <w:lvl w:ilvl="4" w:tplc="B1C6A158" w:tentative="1">
      <w:start w:val="1"/>
      <w:numFmt w:val="lowerLetter"/>
      <w:lvlText w:val="%5."/>
      <w:lvlJc w:val="left"/>
      <w:pPr>
        <w:ind w:left="3600" w:hanging="360"/>
      </w:pPr>
    </w:lvl>
    <w:lvl w:ilvl="5" w:tplc="5840226E" w:tentative="1">
      <w:start w:val="1"/>
      <w:numFmt w:val="lowerRoman"/>
      <w:lvlText w:val="%6."/>
      <w:lvlJc w:val="right"/>
      <w:pPr>
        <w:ind w:left="4320" w:hanging="180"/>
      </w:pPr>
    </w:lvl>
    <w:lvl w:ilvl="6" w:tplc="54304A10" w:tentative="1">
      <w:start w:val="1"/>
      <w:numFmt w:val="decimal"/>
      <w:lvlText w:val="%7."/>
      <w:lvlJc w:val="left"/>
      <w:pPr>
        <w:ind w:left="5040" w:hanging="360"/>
      </w:pPr>
    </w:lvl>
    <w:lvl w:ilvl="7" w:tplc="A22C199C" w:tentative="1">
      <w:start w:val="1"/>
      <w:numFmt w:val="lowerLetter"/>
      <w:lvlText w:val="%8."/>
      <w:lvlJc w:val="left"/>
      <w:pPr>
        <w:ind w:left="5760" w:hanging="360"/>
      </w:pPr>
    </w:lvl>
    <w:lvl w:ilvl="8" w:tplc="EC32B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02B01"/>
    <w:multiLevelType w:val="multilevel"/>
    <w:tmpl w:val="CAA47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41B31" w:themeColor="accent1"/>
        <w:u w:color="C41B31" w:themeColor="accen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C41B31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41B31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C41B31" w:themeColor="accen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41B31" w:themeColor="accent1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C41B31" w:themeColor="accen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C41B31" w:themeColor="accent1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C41B31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C41B31" w:themeColor="accent1"/>
      </w:rPr>
    </w:lvl>
  </w:abstractNum>
  <w:abstractNum w:abstractNumId="30" w15:restartNumberingAfterBreak="0">
    <w:nsid w:val="5FC54E0B"/>
    <w:multiLevelType w:val="hybridMultilevel"/>
    <w:tmpl w:val="EB06FC90"/>
    <w:lvl w:ilvl="0" w:tplc="EA2668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3C6E85"/>
    <w:multiLevelType w:val="hybridMultilevel"/>
    <w:tmpl w:val="56462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F01AF"/>
    <w:multiLevelType w:val="hybridMultilevel"/>
    <w:tmpl w:val="6E5AE55E"/>
    <w:lvl w:ilvl="0" w:tplc="73E22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C175900"/>
    <w:multiLevelType w:val="multilevel"/>
    <w:tmpl w:val="7D5A5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D664CF"/>
    <w:multiLevelType w:val="hybridMultilevel"/>
    <w:tmpl w:val="D722C132"/>
    <w:lvl w:ilvl="0" w:tplc="3B3CFF0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5"/>
  </w:num>
  <w:num w:numId="4">
    <w:abstractNumId w:val="28"/>
  </w:num>
  <w:num w:numId="5">
    <w:abstractNumId w:val="9"/>
  </w:num>
  <w:num w:numId="6">
    <w:abstractNumId w:val="3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5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6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3"/>
  </w:num>
  <w:num w:numId="23">
    <w:abstractNumId w:val="17"/>
  </w:num>
  <w:num w:numId="24">
    <w:abstractNumId w:val="22"/>
  </w:num>
  <w:num w:numId="25">
    <w:abstractNumId w:val="20"/>
  </w:num>
  <w:num w:numId="26">
    <w:abstractNumId w:val="27"/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23"/>
  </w:num>
  <w:num w:numId="30">
    <w:abstractNumId w:val="29"/>
  </w:num>
  <w:num w:numId="31">
    <w:abstractNumId w:val="12"/>
  </w:num>
  <w:num w:numId="32">
    <w:abstractNumId w:val="2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19"/>
  </w:num>
  <w:num w:numId="39">
    <w:abstractNumId w:val="32"/>
  </w:num>
  <w:num w:numId="40">
    <w:abstractNumId w:val="31"/>
  </w:num>
  <w:num w:numId="41">
    <w:abstractNumId w:val="16"/>
  </w:num>
  <w:num w:numId="42">
    <w:abstractNumId w:val="30"/>
  </w:num>
  <w:num w:numId="43">
    <w:abstractNumId w:val="14"/>
  </w:num>
  <w:num w:numId="44">
    <w:abstractNumId w:val="10"/>
  </w:num>
  <w:num w:numId="45">
    <w:abstractNumId w:val="33"/>
    <w:lvlOverride w:ilvl="0">
      <w:startOverride w:val="1"/>
    </w:lvlOverride>
  </w:num>
  <w:num w:numId="46">
    <w:abstractNumId w:val="24"/>
  </w:num>
  <w:num w:numId="47">
    <w:abstractNumId w:val="35"/>
  </w:num>
  <w:num w:numId="48">
    <w:abstractNumId w:val="18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0"/>
  <w:autoFormatOverrid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CC0122A-D2F5-4BA9-B060-13864444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iPriority="3" w:unhideWhenUsed="1" w:qFormat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240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uppressAutoHyphens/>
      <w:spacing w:before="240" w:after="120"/>
      <w:outlineLvl w:val="0"/>
    </w:pPr>
    <w:rPr>
      <w:rFonts w:asciiTheme="majorHAnsi" w:hAnsiTheme="majorHAnsi"/>
      <w:color w:val="C41B31" w:themeColor="accent1"/>
      <w:sz w:val="4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keepLines/>
      <w:suppressAutoHyphens/>
      <w:spacing w:before="170" w:after="120"/>
      <w:outlineLvl w:val="1"/>
    </w:pPr>
    <w:rPr>
      <w:rFonts w:asciiTheme="majorHAnsi" w:hAnsiTheme="majorHAnsi"/>
      <w:b/>
      <w:color w:val="C41B31" w:themeColor="accent1"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keepLines/>
      <w:suppressAutoHyphens/>
      <w:spacing w:before="170" w:after="120"/>
      <w:outlineLvl w:val="2"/>
    </w:pPr>
    <w:rPr>
      <w:rFonts w:asciiTheme="majorHAnsi" w:hAnsiTheme="majorHAns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suppressAutoHyphens/>
      <w:spacing w:after="120"/>
      <w:outlineLvl w:val="3"/>
    </w:pPr>
    <w:rPr>
      <w:rFonts w:asciiTheme="majorHAnsi" w:hAnsiTheme="majorHAnsi"/>
      <w:b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suppressAutoHyphen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4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4"/>
    <w:qFormat/>
    <w:pPr>
      <w:numPr>
        <w:numId w:val="47"/>
      </w:num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2"/>
    <w:qFormat/>
    <w:rPr>
      <w:b/>
      <w:bCs/>
      <w:noProof w:val="0"/>
      <w:lang w:val="de-DE"/>
    </w:rPr>
  </w:style>
  <w:style w:type="paragraph" w:customStyle="1" w:styleId="Fussnote">
    <w:name w:val="Fussnote"/>
    <w:uiPriority w:val="4"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qFormat/>
    <w:pPr>
      <w:spacing w:after="0" w:line="600" w:lineRule="exact"/>
    </w:pPr>
    <w:rPr>
      <w:b/>
      <w:color w:val="C41B31" w:themeColor="accent1"/>
      <w:sz w:val="52"/>
      <w:szCs w:val="52"/>
    </w:rPr>
  </w:style>
  <w:style w:type="character" w:styleId="Hyperlink">
    <w:name w:val="Hyperlink"/>
    <w:uiPriority w:val="2"/>
    <w:qFormat/>
    <w:rPr>
      <w:noProof w:val="0"/>
      <w:color w:val="0000FF"/>
      <w:u w:val="single"/>
      <w:lang w:val="de-DE"/>
    </w:rPr>
  </w:style>
  <w:style w:type="character" w:customStyle="1" w:styleId="Kapitel-Titel">
    <w:name w:val="Kapitel-Titel"/>
    <w:uiPriority w:val="5"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qFormat/>
    <w:pPr>
      <w:spacing w:after="0" w:line="600" w:lineRule="exact"/>
    </w:pPr>
    <w:rPr>
      <w:b/>
      <w:color w:val="C41B31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pPr>
      <w:spacing w:after="360" w:line="400" w:lineRule="atLeast"/>
    </w:pPr>
    <w:rPr>
      <w:color w:val="C41B31" w:themeColor="accent1"/>
      <w:sz w:val="44"/>
    </w:rPr>
  </w:style>
  <w:style w:type="character" w:customStyle="1" w:styleId="TitelZchn">
    <w:name w:val="Titel Zchn"/>
    <w:link w:val="Titel"/>
    <w:rPr>
      <w:color w:val="C41B31" w:themeColor="accent1"/>
      <w:sz w:val="44"/>
    </w:rPr>
  </w:style>
  <w:style w:type="character" w:customStyle="1" w:styleId="berschrift1Zchn">
    <w:name w:val="Überschrift 1 Zchn"/>
    <w:link w:val="berschrift1"/>
    <w:rPr>
      <w:rFonts w:asciiTheme="majorHAnsi" w:hAnsiTheme="majorHAnsi"/>
      <w:color w:val="C41B31" w:themeColor="accent1"/>
      <w:sz w:val="40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color w:val="C41B31" w:themeColor="accent1"/>
      <w:sz w:val="28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sz w:val="26"/>
      <w:szCs w:val="24"/>
    </w:rPr>
  </w:style>
  <w:style w:type="character" w:customStyle="1" w:styleId="berschrift4Zchn">
    <w:name w:val="Überschrift 4 Zchn"/>
    <w:link w:val="berschrift4"/>
    <w:rPr>
      <w:rFonts w:asciiTheme="majorHAnsi" w:hAnsiTheme="majorHAnsi"/>
      <w:b/>
      <w:sz w:val="24"/>
    </w:rPr>
  </w:style>
  <w:style w:type="paragraph" w:styleId="Untertitel">
    <w:name w:val="Subtitle"/>
    <w:basedOn w:val="Standard"/>
    <w:next w:val="Standard"/>
    <w:link w:val="UntertitelZchn"/>
    <w:uiPriority w:val="1"/>
    <w:qFormat/>
    <w:rPr>
      <w:color w:val="C41B31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rFonts w:ascii="BMFChange" w:eastAsia="Calibri" w:hAnsi="BMFChange" w:cs="Times New Roman"/>
      <w:color w:val="C41B31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qFormat/>
    <w:pPr>
      <w:spacing w:after="0" w:line="600" w:lineRule="exact"/>
    </w:pPr>
    <w:rPr>
      <w:color w:val="C41B31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qFormat/>
    <w:rPr>
      <w:b/>
      <w:i w:val="0"/>
      <w:iCs w:val="0"/>
      <w:caps w:val="0"/>
      <w:smallCaps w:val="0"/>
      <w:noProof w:val="0"/>
      <w:color w:val="595959" w:themeColor="text1" w:themeTint="A6"/>
      <w:spacing w:val="22"/>
      <w:kern w:val="20"/>
      <w:position w:val="0"/>
      <w:u w:color="404040" w:themeColor="text1" w:themeTint="BF"/>
      <w:lang w:val="de-DE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noProof w:val="0"/>
      <w:color w:val="404040" w:themeColor="text1" w:themeTint="BF"/>
      <w:spacing w:val="22"/>
      <w:kern w:val="20"/>
      <w:position w:val="0"/>
      <w:u w:color="404040" w:themeColor="text1" w:themeTint="BF"/>
      <w:lang w:val="de-DE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pPr>
      <w:pBdr>
        <w:top w:val="single" w:sz="2" w:space="10" w:color="004F9F" w:themeColor="text2" w:shadow="1"/>
        <w:left w:val="single" w:sz="2" w:space="10" w:color="004F9F" w:themeColor="text2" w:shadow="1"/>
        <w:bottom w:val="single" w:sz="2" w:space="10" w:color="004F9F" w:themeColor="text2" w:shadow="1"/>
        <w:right w:val="single" w:sz="2" w:space="10" w:color="004F9F" w:themeColor="text2" w:shadow="1"/>
      </w:pBdr>
      <w:ind w:left="567" w:right="567"/>
    </w:pPr>
    <w:rPr>
      <w:color w:val="004F9F" w:themeColor="text2"/>
      <w:lang w:val="en-US"/>
    </w:rPr>
  </w:style>
  <w:style w:type="paragraph" w:styleId="Blocktext">
    <w:name w:val="Block Text"/>
    <w:basedOn w:val="Standard"/>
    <w:uiPriority w:val="99"/>
    <w:pPr>
      <w:pBdr>
        <w:top w:val="single" w:sz="2" w:space="10" w:color="C41B31" w:themeColor="accent1" w:shadow="1" w:frame="1"/>
        <w:left w:val="single" w:sz="2" w:space="10" w:color="C41B31" w:themeColor="accent1" w:shadow="1" w:frame="1"/>
        <w:bottom w:val="single" w:sz="2" w:space="10" w:color="C41B31" w:themeColor="accent1" w:shadow="1" w:frame="1"/>
        <w:right w:val="single" w:sz="2" w:space="10" w:color="C41B31" w:themeColor="accent1" w:shadow="1" w:frame="1"/>
      </w:pBdr>
      <w:ind w:left="1152" w:right="1152"/>
    </w:pPr>
    <w:rPr>
      <w:rFonts w:eastAsiaTheme="minorEastAsia"/>
      <w:iCs/>
      <w:color w:val="C41B31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spacing w:before="480" w:after="0"/>
      <w:outlineLvl w:val="9"/>
    </w:pPr>
    <w:rPr>
      <w:rFonts w:eastAsiaTheme="majorEastAsia" w:cstheme="majorBidi"/>
      <w:bCs/>
      <w:sz w:val="32"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iCs/>
      <w:color w:val="000000" w:themeColor="text1"/>
      <w:sz w:val="24"/>
    </w:rPr>
  </w:style>
  <w:style w:type="paragraph" w:styleId="Aufzhlungszeichen">
    <w:name w:val="List Bullet"/>
    <w:basedOn w:val="Standard"/>
    <w:uiPriority w:val="3"/>
    <w:qFormat/>
    <w:pPr>
      <w:numPr>
        <w:numId w:val="37"/>
      </w:numPr>
      <w:spacing w:after="120"/>
      <w:ind w:left="357" w:hanging="357"/>
    </w:pPr>
  </w:style>
  <w:style w:type="character" w:styleId="IntensiveHervorhebung">
    <w:name w:val="Intense Emphasis"/>
    <w:basedOn w:val="Absatz-Standardschriftart"/>
    <w:uiPriority w:val="21"/>
    <w:rPr>
      <w:b/>
      <w:bCs/>
      <w:i w:val="0"/>
      <w:iCs/>
      <w:noProof w:val="0"/>
      <w:color w:val="003A77" w:themeColor="accent3" w:themeShade="BF"/>
      <w:lang w:val="de-D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007256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spacing w:after="120"/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spacing w:after="120"/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  <w:spacing w:after="120"/>
      <w:ind w:left="1077" w:hanging="357"/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color w:val="C41B31" w:themeColor="accent1"/>
      <w:sz w:val="40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C41B31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Theme="majorHAnsi" w:hAnsiTheme="majorHAnsi"/>
      <w:b/>
      <w:sz w:val="26"/>
      <w:szCs w:val="24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004F9F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="BMFChange" w:eastAsiaTheme="majorEastAsia" w:hAnsi="BMFChange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7256" w:themeColor="accent2"/>
        <w:left w:val="single" w:sz="8" w:space="0" w:color="007256" w:themeColor="accent2"/>
        <w:bottom w:val="single" w:sz="8" w:space="0" w:color="007256" w:themeColor="accent2"/>
        <w:right w:val="single" w:sz="8" w:space="0" w:color="007256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56" w:themeColor="accent2"/>
          <w:left w:val="single" w:sz="8" w:space="0" w:color="007256" w:themeColor="accent2"/>
          <w:bottom w:val="single" w:sz="8" w:space="0" w:color="007256" w:themeColor="accent2"/>
          <w:right w:val="single" w:sz="8" w:space="0" w:color="0072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56" w:themeColor="accent2"/>
          <w:left w:val="single" w:sz="8" w:space="0" w:color="007256" w:themeColor="accent2"/>
          <w:bottom w:val="single" w:sz="8" w:space="0" w:color="007256" w:themeColor="accent2"/>
          <w:right w:val="single" w:sz="8" w:space="0" w:color="007256" w:themeColor="accent2"/>
        </w:tcBorders>
      </w:tcPr>
    </w:tblStylePr>
    <w:tblStylePr w:type="band1Horz">
      <w:tblPr/>
      <w:tcPr>
        <w:tcBorders>
          <w:top w:val="single" w:sz="8" w:space="0" w:color="007256" w:themeColor="accent2"/>
          <w:left w:val="single" w:sz="8" w:space="0" w:color="007256" w:themeColor="accent2"/>
          <w:bottom w:val="single" w:sz="8" w:space="0" w:color="007256" w:themeColor="accent2"/>
          <w:right w:val="single" w:sz="8" w:space="0" w:color="007256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41B31" w:themeColor="accent1"/>
        <w:left w:val="single" w:sz="8" w:space="0" w:color="C41B31" w:themeColor="accent1"/>
        <w:bottom w:val="single" w:sz="8" w:space="0" w:color="C41B31" w:themeColor="accent1"/>
        <w:right w:val="single" w:sz="8" w:space="0" w:color="C41B31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C41B31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1B31" w:themeColor="accent1"/>
          <w:left w:val="single" w:sz="8" w:space="0" w:color="C41B31" w:themeColor="accent1"/>
          <w:bottom w:val="single" w:sz="8" w:space="0" w:color="C41B31" w:themeColor="accent1"/>
          <w:right w:val="single" w:sz="8" w:space="0" w:color="C41B31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C41B31" w:themeColor="accent1"/>
          <w:left w:val="single" w:sz="8" w:space="0" w:color="C41B31" w:themeColor="accent1"/>
          <w:bottom w:val="single" w:sz="8" w:space="0" w:color="C41B31" w:themeColor="accent1"/>
          <w:right w:val="single" w:sz="8" w:space="0" w:color="C41B31" w:themeColor="accent1"/>
        </w:tcBorders>
      </w:tcPr>
    </w:tblStylePr>
    <w:tblStylePr w:type="band1Horz">
      <w:tblPr/>
      <w:tcPr>
        <w:tcBorders>
          <w:top w:val="single" w:sz="8" w:space="0" w:color="C41B31" w:themeColor="accent1"/>
          <w:left w:val="single" w:sz="8" w:space="0" w:color="C41B31" w:themeColor="accent1"/>
          <w:bottom w:val="single" w:sz="8" w:space="0" w:color="C41B31" w:themeColor="accent1"/>
          <w:right w:val="single" w:sz="8" w:space="0" w:color="C41B31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C41B31" w:themeColor="accent1"/>
        <w:left w:val="single" w:sz="8" w:space="0" w:color="C41B31" w:themeColor="accent1"/>
        <w:bottom w:val="single" w:sz="8" w:space="0" w:color="C41B31" w:themeColor="accent1"/>
        <w:right w:val="single" w:sz="8" w:space="0" w:color="C41B31" w:themeColor="accent1"/>
        <w:insideH w:val="single" w:sz="8" w:space="0" w:color="C41B31" w:themeColor="accent1"/>
        <w:insideV w:val="single" w:sz="8" w:space="0" w:color="C41B31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41B31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007256" w:themeColor="accent2"/>
        <w:left w:val="single" w:sz="8" w:space="0" w:color="007256" w:themeColor="accent2"/>
        <w:bottom w:val="single" w:sz="8" w:space="0" w:color="007256" w:themeColor="accent2"/>
        <w:right w:val="single" w:sz="8" w:space="0" w:color="007256" w:themeColor="accent2"/>
        <w:insideH w:val="single" w:sz="8" w:space="0" w:color="007256" w:themeColor="accent2"/>
        <w:insideV w:val="single" w:sz="8" w:space="0" w:color="007256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007256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93939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  <w:spacing w:after="120"/>
      <w:ind w:left="0" w:firstLine="0"/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  <w:spacing w:after="120"/>
      <w:ind w:left="357" w:firstLine="0"/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  <w:spacing w:after="120"/>
      <w:ind w:left="714" w:firstLine="0"/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3"/>
    <w:pPr>
      <w:numPr>
        <w:ilvl w:val="1"/>
        <w:numId w:val="37"/>
      </w:numPr>
      <w:spacing w:after="120"/>
      <w:ind w:left="714" w:hanging="357"/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  <w:spacing w:after="120"/>
      <w:ind w:left="1077" w:hanging="357"/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C41B31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top w:val="single" w:sz="4" w:space="10" w:color="C41B31" w:themeColor="accent1"/>
        <w:bottom w:val="single" w:sz="4" w:space="10" w:color="C41B31" w:themeColor="accent1"/>
      </w:pBdr>
      <w:spacing w:before="360" w:after="360"/>
      <w:ind w:left="864" w:right="864"/>
      <w:jc w:val="center"/>
    </w:pPr>
    <w:rPr>
      <w:iCs/>
      <w:color w:val="C41B3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C41B31" w:themeColor="accent1"/>
    </w:rPr>
  </w:style>
  <w:style w:type="character" w:styleId="Buchtitel">
    <w:name w:val="Book Title"/>
    <w:basedOn w:val="Absatz-Standardschriftart"/>
    <w:uiPriority w:val="33"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before="360" w:after="0" w:line="340" w:lineRule="atLeast"/>
    </w:pPr>
    <w:rPr>
      <w:rFonts w:asciiTheme="majorHAnsi" w:hAnsiTheme="majorHAnsi"/>
      <w:color w:val="393939" w:themeColor="background2" w:themeShade="40"/>
      <w:sz w:val="30"/>
    </w:rPr>
  </w:style>
  <w:style w:type="paragraph" w:customStyle="1" w:styleId="OESE">
    <w:name w:val="OE/SE"/>
    <w:basedOn w:val="Standard"/>
    <w:link w:val="OESEZchn"/>
    <w:qFormat/>
    <w:pPr>
      <w:spacing w:line="320" w:lineRule="atLeast"/>
    </w:pPr>
    <w:rPr>
      <w:color w:val="393939" w:themeColor="background2" w:themeShade="40"/>
    </w:rPr>
  </w:style>
  <w:style w:type="character" w:customStyle="1" w:styleId="OESEZchn">
    <w:name w:val="OE/SE Zchn"/>
    <w:basedOn w:val="Absatz-Standardschriftart"/>
    <w:link w:val="OESE"/>
    <w:rPr>
      <w:color w:val="393939" w:themeColor="background2" w:themeShade="40"/>
      <w:sz w:val="24"/>
    </w:rPr>
  </w:style>
  <w:style w:type="paragraph" w:customStyle="1" w:styleId="Abteilung">
    <w:name w:val="Abteilung"/>
    <w:basedOn w:val="Standard"/>
    <w:link w:val="AbteilungZchn"/>
    <w:qFormat/>
    <w:pPr>
      <w:spacing w:before="0" w:after="0" w:line="320" w:lineRule="atLeast"/>
    </w:pPr>
    <w:rPr>
      <w:color w:val="393939" w:themeColor="background2" w:themeShade="40"/>
    </w:rPr>
  </w:style>
  <w:style w:type="character" w:customStyle="1" w:styleId="AbteilungZchn">
    <w:name w:val="Abteilung Zchn"/>
    <w:basedOn w:val="Absatz-Standardschriftart"/>
    <w:link w:val="Abteilung"/>
    <w:rPr>
      <w:color w:val="393939" w:themeColor="background2" w:themeShade="40"/>
      <w:sz w:val="24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99A5" w:themeColor="accent1" w:themeTint="66"/>
        <w:left w:val="single" w:sz="4" w:space="0" w:color="F199A5" w:themeColor="accent1" w:themeTint="66"/>
        <w:bottom w:val="single" w:sz="4" w:space="0" w:color="F199A5" w:themeColor="accent1" w:themeTint="66"/>
        <w:right w:val="single" w:sz="4" w:space="0" w:color="F199A5" w:themeColor="accent1" w:themeTint="66"/>
        <w:insideH w:val="single" w:sz="4" w:space="0" w:color="F199A5" w:themeColor="accent1" w:themeTint="66"/>
        <w:insideV w:val="single" w:sz="4" w:space="0" w:color="F199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67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67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2B7FF" w:themeColor="accent3" w:themeTint="66"/>
        <w:left w:val="single" w:sz="4" w:space="0" w:color="72B7FF" w:themeColor="accent3" w:themeTint="66"/>
        <w:bottom w:val="single" w:sz="4" w:space="0" w:color="72B7FF" w:themeColor="accent3" w:themeTint="66"/>
        <w:right w:val="single" w:sz="4" w:space="0" w:color="72B7FF" w:themeColor="accent3" w:themeTint="66"/>
        <w:insideH w:val="single" w:sz="4" w:space="0" w:color="72B7FF" w:themeColor="accent3" w:themeTint="66"/>
        <w:insideV w:val="single" w:sz="4" w:space="0" w:color="72B7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C9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C9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494" w:themeColor="accent4" w:themeTint="66"/>
        <w:left w:val="single" w:sz="4" w:space="0" w:color="FFD494" w:themeColor="accent4" w:themeTint="66"/>
        <w:bottom w:val="single" w:sz="4" w:space="0" w:color="FFD494" w:themeColor="accent4" w:themeTint="66"/>
        <w:right w:val="single" w:sz="4" w:space="0" w:color="FFD494" w:themeColor="accent4" w:themeTint="66"/>
        <w:insideH w:val="single" w:sz="4" w:space="0" w:color="FFD494" w:themeColor="accent4" w:themeTint="66"/>
        <w:insideV w:val="single" w:sz="4" w:space="0" w:color="FFD4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5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3"/>
    <w:qFormat/>
    <w:pPr>
      <w:spacing w:before="1200" w:after="360" w:line="240" w:lineRule="auto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3"/>
    <w:rPr>
      <w:sz w:val="24"/>
    </w:rPr>
  </w:style>
  <w:style w:type="paragraph" w:styleId="Gruformel">
    <w:name w:val="Closing"/>
    <w:basedOn w:val="Standard"/>
    <w:link w:val="GruformelZchn"/>
    <w:uiPriority w:val="3"/>
    <w:qFormat/>
    <w:pPr>
      <w:spacing w:before="720" w:after="360" w:line="240" w:lineRule="auto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3"/>
    <w:rPr>
      <w:sz w:val="24"/>
    </w:rPr>
  </w:style>
  <w:style w:type="paragraph" w:customStyle="1" w:styleId="Spaltenberschrift">
    <w:name w:val="Spaltenüberschrift"/>
    <w:basedOn w:val="Standard"/>
    <w:uiPriority w:val="3"/>
    <w:qFormat/>
    <w:pPr>
      <w:spacing w:before="0" w:after="0"/>
      <w:contextualSpacing/>
      <w:jc w:val="center"/>
    </w:pPr>
    <w:rPr>
      <w:rFonts w:asciiTheme="majorHAnsi" w:hAnsiTheme="majorHAnsi"/>
      <w:color w:val="FFFFFF" w:themeColor="background1"/>
      <w:spacing w:val="24"/>
      <w:lang w:eastAsia="de-DE"/>
    </w:rPr>
  </w:style>
  <w:style w:type="paragraph" w:customStyle="1" w:styleId="Zeilenberschrift">
    <w:name w:val="Zeilenüberschrift"/>
    <w:basedOn w:val="berschrift1"/>
    <w:uiPriority w:val="3"/>
    <w:qFormat/>
    <w:pPr>
      <w:spacing w:before="0" w:after="0"/>
      <w:contextualSpacing/>
      <w:jc w:val="center"/>
      <w:outlineLvl w:val="9"/>
    </w:pPr>
    <w:rPr>
      <w:color w:val="FFFFFF" w:themeColor="background1"/>
      <w:spacing w:val="24"/>
      <w:sz w:val="24"/>
    </w:rPr>
  </w:style>
  <w:style w:type="table" w:customStyle="1" w:styleId="TabelleGraumitErgebniszeile3">
    <w:name w:val="Tabelle Grau mit Ergebniszeile3"/>
    <w:basedOn w:val="NormaleTabelle"/>
    <w:uiPriority w:val="99"/>
    <w:pPr>
      <w:spacing w:after="0" w:line="240" w:lineRule="auto"/>
      <w:contextualSpacing/>
    </w:pPr>
    <w:rPr>
      <w:sz w:val="24"/>
    </w:rPr>
    <w:tblPr>
      <w:tblBorders>
        <w:top w:val="single" w:sz="4" w:space="0" w:color="005FC1" w:themeColor="text2" w:themeTint="E6"/>
        <w:left w:val="single" w:sz="4" w:space="0" w:color="005FC1" w:themeColor="text2" w:themeTint="E6"/>
        <w:bottom w:val="single" w:sz="4" w:space="0" w:color="005FC1" w:themeColor="text2" w:themeTint="E6"/>
        <w:right w:val="single" w:sz="4" w:space="0" w:color="005FC1" w:themeColor="text2" w:themeTint="E6"/>
        <w:insideH w:val="single" w:sz="4" w:space="0" w:color="005FC1" w:themeColor="text2" w:themeTint="E6"/>
        <w:insideV w:val="single" w:sz="4" w:space="0" w:color="005FC1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93939" w:themeColor="background2" w:themeShade="40"/>
        </w:tcBorders>
      </w:tcPr>
    </w:tblStylePr>
  </w:style>
  <w:style w:type="paragraph" w:styleId="Beschriftung">
    <w:name w:val="caption"/>
    <w:basedOn w:val="Standard"/>
    <w:next w:val="Standard"/>
    <w:uiPriority w:val="9"/>
    <w:qFormat/>
    <w:pPr>
      <w:spacing w:before="0" w:after="200" w:line="240" w:lineRule="auto"/>
    </w:pPr>
    <w:rPr>
      <w:iCs/>
      <w:color w:val="00274F" w:themeColor="text2" w:themeShade="80"/>
      <w:sz w:val="22"/>
      <w:szCs w:val="18"/>
    </w:rPr>
  </w:style>
  <w:style w:type="paragraph" w:customStyle="1" w:styleId="Hervorhebungmittig">
    <w:name w:val="Hervorhebung mittig"/>
    <w:basedOn w:val="Standard"/>
    <w:qFormat/>
    <w:pPr>
      <w:spacing w:before="0" w:after="0" w:line="240" w:lineRule="atLeast"/>
      <w:contextualSpacing/>
      <w:jc w:val="center"/>
    </w:pPr>
    <w:rPr>
      <w:rFonts w:ascii="Calibri" w:eastAsia="Calibri" w:hAnsi="Calibri" w:cs="Times New Roman"/>
      <w:b/>
      <w:color w:val="393939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spacing w:before="0" w:line="300" w:lineRule="auto"/>
      <w:contextualSpacing/>
    </w:pPr>
    <w:rPr>
      <w:sz w:val="32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con02\home01\VorlagenWord2016\3%20Mit%20Kopfzeile.dotx" TargetMode="External"/></Relationships>
</file>

<file path=word/theme/theme1.xml><?xml version="1.0" encoding="utf-8"?>
<a:theme xmlns:a="http://schemas.openxmlformats.org/drawingml/2006/main" name="CD_Berlins">
  <a:themeElements>
    <a:clrScheme name="Neue Marke Berlin 2020">
      <a:dk1>
        <a:sysClr val="windowText" lastClr="000000"/>
      </a:dk1>
      <a:lt1>
        <a:sysClr val="window" lastClr="FFFFFF"/>
      </a:lt1>
      <a:dk2>
        <a:srgbClr val="004F9F"/>
      </a:dk2>
      <a:lt2>
        <a:srgbClr val="E6E6E6"/>
      </a:lt2>
      <a:accent1>
        <a:srgbClr val="C41B31"/>
      </a:accent1>
      <a:accent2>
        <a:srgbClr val="007256"/>
      </a:accent2>
      <a:accent3>
        <a:srgbClr val="004F9F"/>
      </a:accent3>
      <a:accent4>
        <a:srgbClr val="F39300"/>
      </a:accent4>
      <a:accent5>
        <a:srgbClr val="FFE70E"/>
      </a:accent5>
      <a:accent6>
        <a:srgbClr val="9BCFAF"/>
      </a:accent6>
      <a:hlink>
        <a:srgbClr val="004F9F"/>
      </a:hlink>
      <a:folHlink>
        <a:srgbClr val="4F90CD"/>
      </a:folHlink>
    </a:clrScheme>
    <a:fontScheme name="Sen Schrift">
      <a:majorFont>
        <a:latin typeface="Berlin Type Office"/>
        <a:ea typeface=""/>
        <a:cs typeface=""/>
      </a:majorFont>
      <a:minorFont>
        <a:latin typeface="Berlin Type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3B53-2A59-40D3-8B2E-0790D141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Mit Kopfzeile.dotx</Template>
  <TotalTime>0</TotalTime>
  <Pages>3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Titel eintragen</vt:lpstr>
    </vt:vector>
  </TitlesOfParts>
  <Company>Bezirksamt Tempelhof-Schöneberg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Titel eintragen</dc:title>
  <dc:subject>Bitte Untertitel / Betreff eintragen</dc:subject>
  <dc:creator>Paschenda, Kerstin</dc:creator>
  <cp:keywords>Word-Vorlage mit CD Berlins</cp:keywords>
  <cp:lastModifiedBy>Paschenda, Kerstin</cp:lastModifiedBy>
  <cp:revision>4</cp:revision>
  <dcterms:created xsi:type="dcterms:W3CDTF">2021-05-19T07:55:00Z</dcterms:created>
  <dcterms:modified xsi:type="dcterms:W3CDTF">2021-05-19T13:28:00Z</dcterms:modified>
</cp:coreProperties>
</file>