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  <w:tcMar>
              <w:right w:w="142" w:type="dxa"/>
            </w:tcMar>
          </w:tcPr>
          <w:p>
            <w:pPr>
              <w:pStyle w:val="BAT-S"/>
              <w:ind w:left="-105"/>
            </w:pPr>
            <w:r>
              <w:t>Bezirksamt Tempelhof-Schöneberg von Berlin</w:t>
            </w:r>
          </w:p>
          <w:p>
            <w:pPr>
              <w:pStyle w:val="Abteilung"/>
              <w:ind w:left="-105"/>
            </w:pPr>
            <w:r>
              <w:t xml:space="preserve">Abteilung für </w:t>
            </w:r>
            <w:sdt>
              <w:sdtPr>
                <w:tag w:val="Element"/>
                <w:id w:val="699823480"/>
                <w:placeholder>
                  <w:docPart w:val="899CEE0BE0114C0585E874D83D7495E5"/>
                </w:placeholder>
                <w:temporary/>
                <w:showingPlcHdr/>
                <w:dropDownList>
                  <w:listItem w:value="Wählen Sie ein Element aus"/>
                  <w:listItem w:displayText="Finanzen, Personal, Wirtschaftsförderung und Koordination" w:value="Finanzen, Personal, Wirtschaftsförderung und Koordination"/>
                  <w:listItem w:displayText="Stadtentwicklung und Facility Management " w:value="Stadtentwicklung und Facility Management "/>
                  <w:listItem w:displayText="Bürgerdienste, Soziales und Senioren" w:value="Bürgerdienste, Soziales und Senioren"/>
                  <w:listItem w:displayText="Jugend und Gesundheit" w:value="Jugend und Gesundheit"/>
                  <w:listItem w:displayText="Ordnung, Straßen, Grünflächen, Umwelt und Naturschutz " w:value="Ordnung, Straßen, Grünflächen, Umwelt und Naturschutz "/>
                  <w:listItem w:displayText="Schule, Sport, Bildung und Kultur" w:value="Schule, Sport, Bildung und Kultur"/>
                </w:dropDownList>
              </w:sdtPr>
              <w:sdtContent>
                <w:r>
                  <w:t>Wählen Sie ein Element aus</w:t>
                </w:r>
              </w:sdtContent>
            </w:sdt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</w:pPr>
      <w:r>
        <w:t>Es gilt das gesprochene Wort</w:t>
      </w:r>
    </w:p>
    <w:p/>
    <w:p>
      <w:pPr>
        <w:pStyle w:val="XYSitzungderBVV"/>
      </w:pPr>
      <w:r>
        <w:t>3. Sitzung der Bezirksverordnetenversammlung Tempelhof-Schöneberg von Berlin am 15.12.2021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</w:t>
      </w:r>
      <w:r>
        <w:rPr>
          <w:rStyle w:val="Formatvorlage4"/>
        </w:rPr>
        <w:t>13</w:t>
      </w:r>
      <w:r>
        <w:rPr>
          <w:rStyle w:val="TitelZchn"/>
        </w:rPr>
        <w:t xml:space="preserve"> der BV Wissel</w:t>
      </w:r>
    </w:p>
    <w:p>
      <w:pPr>
        <w:pStyle w:val="Titel"/>
      </w:pPr>
      <w:r>
        <w:t>Quarantänemaßnahmen an Schulen</w:t>
      </w:r>
    </w:p>
    <w:p>
      <w:pPr>
        <w:pStyle w:val="berschrift1"/>
      </w:pPr>
      <w:r>
        <w:t>1. Frage</w:t>
      </w:r>
    </w:p>
    <w:p>
      <w:pPr>
        <w:tabs>
          <w:tab w:val="left" w:pos="3105"/>
        </w:tabs>
      </w:pPr>
      <w:r>
        <w:t>Wie werden Quarantäne-Maßnahmen an Schulen, wenn ein Schüler oder eine Schülerin positiv auf Corona getestet wurde umgesetzt?</w:t>
      </w:r>
    </w:p>
    <w:p>
      <w:pPr>
        <w:pStyle w:val="berschrift1"/>
      </w:pPr>
      <w:r>
        <w:t>Antwort auf 1. Frage</w:t>
      </w:r>
    </w:p>
    <w:p>
      <w:pPr>
        <w:pStyle w:val="NurText"/>
        <w:spacing w:before="360" w:after="360"/>
        <w:rPr>
          <w:rFonts w:asciiTheme="minorHAnsi" w:eastAsiaTheme="minorHAnsi" w:hAnsiTheme="minorHAnsi" w:cstheme="minorBidi"/>
          <w:kern w:val="0"/>
          <w:sz w:val="24"/>
          <w:szCs w:val="22"/>
        </w:rPr>
      </w:pPr>
      <w:r>
        <w:rPr>
          <w:rFonts w:asciiTheme="minorHAnsi" w:eastAsiaTheme="minorHAnsi" w:hAnsiTheme="minorHAnsi" w:cstheme="minorBidi"/>
          <w:kern w:val="0"/>
          <w:sz w:val="24"/>
          <w:szCs w:val="22"/>
        </w:rPr>
        <w:t>Die Schule me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ldet dem Gesundheitsamt den positiven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Fall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eines Schülers oder einer Schülerin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und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eruiert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entsprechend der Handlungsempfehlungen des Gesundheitsamtes für Schulen,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die allen Schulleitungen vorliegen,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die engen Kontaktpersonen. Diese werden mit dem Gesundheitsamt abgestimmt, ebenso die Dauer der Quarantäne und ggf. weitere zu berücksichtigende Umstände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,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z.B.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die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Einhaltung der Hygieneanforderungen. Die Schule informiert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im Anschluss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anhand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der ebenfalls vom Gesundheitsamt für alle Schulleitungen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vor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bereiteten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Standardschreiben die K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ontaktpersonen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im Auftrag des Gesundheitsamtes über die Quarantäne.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Um eine enge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Abstimmung der Maßnahmen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mit den Schulen zu gewährleisten,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hat das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Gesundheitsamt den Schulen 24/7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eine bevorzugte Erreichbarkeit per Handynummer und per E-Mail eingerichtet. Maßn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ahmen aus den Kontakten der positiven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Fälle außerhalb des Settings Schule ermittelt das G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esundheitsamt in eigener Zuständigkeit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.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</w:t>
      </w:r>
    </w:p>
    <w:p>
      <w:pPr>
        <w:pStyle w:val="berschrift1"/>
      </w:pPr>
      <w:r>
        <w:t>2. Frage</w:t>
      </w:r>
    </w:p>
    <w:p>
      <w:pPr>
        <w:tabs>
          <w:tab w:val="left" w:pos="3105"/>
        </w:tabs>
      </w:pPr>
      <w:r>
        <w:t>Wie lange dauern die Quarantäne-Maßnahmen bzw. gibt es eine unterschiedliche Handhabung bei Geimpften und Ungeimpften?</w:t>
      </w:r>
    </w:p>
    <w:p>
      <w:pPr>
        <w:pStyle w:val="berschrift1"/>
      </w:pPr>
      <w:r>
        <w:lastRenderedPageBreak/>
        <w:t>Antwort auf 2. Frage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  <w:lang w:eastAsia="en-US"/>
        </w:rPr>
      </w:pPr>
      <w:r>
        <w:rPr>
          <w:rFonts w:asciiTheme="minorHAnsi" w:hAnsiTheme="minorHAnsi"/>
          <w:noProof w:val="0"/>
          <w:color w:val="auto"/>
          <w:sz w:val="24"/>
          <w:lang w:eastAsia="en-US"/>
        </w:rPr>
        <w:t>Die Quarantänemaßn</w:t>
      </w:r>
      <w:r>
        <w:rPr>
          <w:rFonts w:asciiTheme="minorHAnsi" w:hAnsiTheme="minorHAnsi"/>
          <w:noProof w:val="0"/>
          <w:color w:val="auto"/>
          <w:sz w:val="24"/>
          <w:lang w:eastAsia="en-US"/>
        </w:rPr>
        <w:t>ahmen richten sich nach den RKI-</w:t>
      </w:r>
      <w:r>
        <w:rPr>
          <w:rFonts w:asciiTheme="minorHAnsi" w:hAnsiTheme="minorHAnsi"/>
          <w:noProof w:val="0"/>
          <w:color w:val="auto"/>
          <w:sz w:val="24"/>
          <w:lang w:eastAsia="en-US"/>
        </w:rPr>
        <w:t>Empfehlungen, die Bestandteil der Infektionsschutzmaß</w:t>
      </w:r>
      <w:r>
        <w:rPr>
          <w:rFonts w:asciiTheme="minorHAnsi" w:hAnsiTheme="minorHAnsi"/>
          <w:noProof w:val="0"/>
          <w:color w:val="auto"/>
          <w:sz w:val="24"/>
          <w:lang w:eastAsia="en-US"/>
        </w:rPr>
        <w:t>nahmenverordnung des Landes</w:t>
      </w:r>
      <w:r>
        <w:rPr>
          <w:rFonts w:asciiTheme="minorHAnsi" w:hAnsiTheme="minorHAnsi"/>
          <w:noProof w:val="0"/>
          <w:color w:val="auto"/>
          <w:sz w:val="24"/>
          <w:lang w:eastAsia="en-US"/>
        </w:rPr>
        <w:t xml:space="preserve"> und der Allgemeinverfügung des Bezirkes</w:t>
      </w:r>
      <w:r>
        <w:rPr>
          <w:rFonts w:asciiTheme="minorHAnsi" w:hAnsiTheme="minorHAnsi"/>
          <w:noProof w:val="0"/>
          <w:color w:val="auto"/>
          <w:sz w:val="24"/>
          <w:lang w:eastAsia="en-US"/>
        </w:rPr>
        <w:t xml:space="preserve"> sind (</w:t>
      </w:r>
      <w:hyperlink r:id="rId9" w:history="1">
        <w:r>
          <w:rPr>
            <w:rStyle w:val="Hyperlink"/>
            <w:rFonts w:asciiTheme="minorHAnsi" w:hAnsiTheme="minorHAnsi"/>
            <w:noProof w:val="0"/>
            <w:sz w:val="24"/>
            <w:lang w:eastAsia="en-US"/>
          </w:rPr>
          <w:t>https://www.berlin.de/ba-tempelhof-schoeneberg/aktuelles/hinweise/artikel.1008519.php</w:t>
        </w:r>
      </w:hyperlink>
      <w:r>
        <w:rPr>
          <w:rFonts w:asciiTheme="minorHAnsi" w:hAnsiTheme="minorHAnsi"/>
          <w:noProof w:val="0"/>
          <w:color w:val="auto"/>
          <w:sz w:val="24"/>
          <w:lang w:eastAsia="en-US"/>
        </w:rPr>
        <w:t>).</w:t>
      </w:r>
    </w:p>
    <w:p>
      <w:pPr>
        <w:pStyle w:val="berschrift1"/>
      </w:pPr>
      <w:r>
        <w:t>1. Nachfrage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  <w:lang w:eastAsia="en-US"/>
        </w:rPr>
      </w:pPr>
      <w:r>
        <w:rPr>
          <w:rFonts w:asciiTheme="minorHAnsi" w:hAnsiTheme="minorHAnsi"/>
          <w:noProof w:val="0"/>
          <w:color w:val="auto"/>
          <w:sz w:val="24"/>
          <w:lang w:eastAsia="en-US"/>
        </w:rPr>
        <w:t>Entscheiden Schulen selbständig über Quarantäne-Maßnahmen, oder wird in jedem Fall das Gesundheitsamt als Entscheidungshilfe hinzugezogen?</w:t>
      </w:r>
    </w:p>
    <w:p>
      <w:pPr>
        <w:pStyle w:val="berschrift1"/>
      </w:pPr>
      <w:r>
        <w:t>Antwort auf die 1. Nachfrage</w:t>
      </w:r>
    </w:p>
    <w:p>
      <w:pPr>
        <w:pStyle w:val="NurText"/>
        <w:spacing w:before="360" w:after="360"/>
      </w:pPr>
      <w:r>
        <w:rPr>
          <w:rFonts w:asciiTheme="minorHAnsi" w:eastAsiaTheme="minorHAnsi" w:hAnsiTheme="minorHAnsi" w:cstheme="minorBidi"/>
          <w:kern w:val="0"/>
          <w:sz w:val="24"/>
          <w:szCs w:val="22"/>
        </w:rPr>
        <w:t>Die Schulen agieren im Auftrag des Gesundheitsamtes bzw. auf Ve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ranlassung des Gesundheitsamtes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(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s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iehe unter 1.) Grundsätzlich wird das Gesundheitsam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t hinzugezogen</w:t>
      </w:r>
      <w:r>
        <w:rPr>
          <w:rFonts w:ascii="Arial" w:hAnsi="Arial" w:cs="Arial"/>
        </w:rPr>
        <w:t xml:space="preserve">. </w:t>
      </w:r>
    </w:p>
    <w:p>
      <w:pPr>
        <w:pStyle w:val="berschrift1"/>
      </w:pPr>
      <w:r>
        <w:t>2. Nachfrage</w:t>
      </w:r>
    </w:p>
    <w:p>
      <w:pPr>
        <w:pStyle w:val="NurText"/>
        <w:spacing w:before="360" w:after="360"/>
        <w:rPr>
          <w:rFonts w:asciiTheme="minorHAnsi" w:eastAsiaTheme="minorHAnsi" w:hAnsiTheme="minorHAnsi" w:cstheme="minorBidi"/>
          <w:kern w:val="0"/>
          <w:sz w:val="24"/>
          <w:szCs w:val="22"/>
        </w:rPr>
      </w:pP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Gelten zwei Mal geimpfte </w:t>
      </w:r>
      <w:proofErr w:type="spellStart"/>
      <w:proofErr w:type="gramStart"/>
      <w:r>
        <w:rPr>
          <w:rFonts w:asciiTheme="minorHAnsi" w:eastAsiaTheme="minorHAnsi" w:hAnsiTheme="minorHAnsi" w:cstheme="minorBidi"/>
          <w:kern w:val="0"/>
          <w:sz w:val="24"/>
          <w:szCs w:val="22"/>
        </w:rPr>
        <w:t>Schüler:innen</w:t>
      </w:r>
      <w:proofErr w:type="spellEnd"/>
      <w:proofErr w:type="gramEnd"/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als Kontaktpersonen und wird bei ihnen ein PCR-Test durchgeführt?</w:t>
      </w:r>
    </w:p>
    <w:p>
      <w:pPr>
        <w:pStyle w:val="berschrift1"/>
      </w:pPr>
      <w:r>
        <w:t>Antwort auf die 2. Nachfrage</w:t>
      </w:r>
    </w:p>
    <w:p>
      <w:pPr>
        <w:pStyle w:val="NurText"/>
        <w:spacing w:before="360" w:after="360"/>
        <w:rPr>
          <w:rFonts w:asciiTheme="minorHAnsi" w:eastAsiaTheme="minorHAnsi" w:hAnsiTheme="minorHAnsi" w:cstheme="minorBidi"/>
          <w:kern w:val="0"/>
          <w:sz w:val="24"/>
          <w:szCs w:val="22"/>
        </w:rPr>
      </w:pPr>
      <w:r>
        <w:rPr>
          <w:rFonts w:asciiTheme="minorHAnsi" w:eastAsiaTheme="minorHAnsi" w:hAnsiTheme="minorHAnsi" w:cstheme="minorBidi"/>
          <w:kern w:val="0"/>
          <w:sz w:val="24"/>
          <w:szCs w:val="22"/>
        </w:rPr>
        <w:t>In der Regel, d.h.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ohne Hinweis auf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Vorliegen von 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besorgniserregenden Virusvarianten (</w:t>
      </w:r>
      <w:proofErr w:type="spellStart"/>
      <w:r>
        <w:rPr>
          <w:rFonts w:asciiTheme="minorHAnsi" w:eastAsiaTheme="minorHAnsi" w:hAnsiTheme="minorHAnsi" w:cstheme="minorBidi"/>
          <w:kern w:val="0"/>
          <w:sz w:val="24"/>
          <w:szCs w:val="22"/>
        </w:rPr>
        <w:t>Variants</w:t>
      </w:r>
      <w:proofErr w:type="spellEnd"/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kern w:val="0"/>
          <w:sz w:val="24"/>
          <w:szCs w:val="22"/>
        </w:rPr>
        <w:t>of</w:t>
      </w:r>
      <w:proofErr w:type="spellEnd"/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kern w:val="0"/>
          <w:sz w:val="24"/>
          <w:szCs w:val="22"/>
        </w:rPr>
        <w:t>Concern</w:t>
      </w:r>
      <w:proofErr w:type="spellEnd"/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– VOC)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gelten vollständig geimpfte </w:t>
      </w:r>
      <w:proofErr w:type="spellStart"/>
      <w:r>
        <w:rPr>
          <w:rFonts w:asciiTheme="minorHAnsi" w:eastAsiaTheme="minorHAnsi" w:hAnsiTheme="minorHAnsi" w:cstheme="minorBidi"/>
          <w:kern w:val="0"/>
          <w:sz w:val="24"/>
          <w:szCs w:val="22"/>
        </w:rPr>
        <w:t>Schüler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_innen</w:t>
      </w:r>
      <w:proofErr w:type="spellEnd"/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nicht als enge K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ontaktpersonen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und es wird auch keine PCR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>-Testung</w:t>
      </w:r>
      <w:r>
        <w:rPr>
          <w:rFonts w:asciiTheme="minorHAnsi" w:eastAsiaTheme="minorHAnsi" w:hAnsiTheme="minorHAnsi" w:cstheme="minorBidi"/>
          <w:kern w:val="0"/>
          <w:sz w:val="24"/>
          <w:szCs w:val="22"/>
        </w:rPr>
        <w:t xml:space="preserve"> durchgeführt. </w:t>
      </w:r>
    </w:p>
    <w:p>
      <w:pPr>
        <w:pStyle w:val="Unterschrift"/>
      </w:pPr>
      <w:r>
        <w:t xml:space="preserve">Bezirksstadtrat Oliver Schworck </w:t>
      </w:r>
      <w:bookmarkStart w:id="0" w:name="_GoBack"/>
      <w:bookmarkEnd w:id="0"/>
    </w:p>
    <w:p>
      <w:pPr>
        <w:pStyle w:val="Unterschrift"/>
      </w:pPr>
    </w:p>
    <w:sectPr>
      <w:headerReference w:type="default" r:id="rId10"/>
      <w:footerReference w:type="first" r:id="rId11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A2446"/>
    <w:multiLevelType w:val="multilevel"/>
    <w:tmpl w:val="998E6C5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" w15:restartNumberingAfterBreak="0">
    <w:nsid w:val="40391D8D"/>
    <w:multiLevelType w:val="multilevel"/>
    <w:tmpl w:val="E12CFFE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137F49-7EA6-4230-B542-D7155F61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2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5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1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1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1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1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1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3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3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3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3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3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3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3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3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3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  <w:sz w:val="24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Theme="majorHAnsi" w:eastAsia="Calibri" w:hAnsiTheme="majorHAnsi" w:cs="Times New Roman"/>
      <w:b/>
      <w:color w:val="7A6F6B" w:themeColor="text2"/>
      <w:sz w:val="24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4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4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4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4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4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4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5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5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5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5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5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5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5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5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styleId="NurText">
    <w:name w:val="Plain Text"/>
    <w:basedOn w:val="Standard"/>
    <w:link w:val="NurTextZchn"/>
    <w:unhideWhenUsed/>
    <w:pPr>
      <w:autoSpaceDN w:val="0"/>
      <w:spacing w:after="0" w:line="240" w:lineRule="auto"/>
    </w:pPr>
    <w:rPr>
      <w:rFonts w:ascii="Calibri" w:eastAsia="Calibri" w:hAnsi="Calibri" w:cs="Times New Roman"/>
      <w:kern w:val="3"/>
      <w:sz w:val="22"/>
      <w:szCs w:val="21"/>
    </w:rPr>
  </w:style>
  <w:style w:type="character" w:customStyle="1" w:styleId="NurTextZchn">
    <w:name w:val="Nur Text Zchn"/>
    <w:basedOn w:val="Absatz-Standardschriftart"/>
    <w:link w:val="NurText"/>
    <w:rPr>
      <w:rFonts w:ascii="Calibri" w:eastAsia="Calibri" w:hAnsi="Calibri" w:cs="Times New Roman"/>
      <w:kern w:val="3"/>
      <w:szCs w:val="21"/>
    </w:rPr>
  </w:style>
  <w:style w:type="numbering" w:customStyle="1" w:styleId="WWNum1">
    <w:name w:val="WWNum1"/>
    <w:pPr>
      <w:numPr>
        <w:numId w:val="6"/>
      </w:numPr>
    </w:pPr>
  </w:style>
  <w:style w:type="numbering" w:customStyle="1" w:styleId="WWNum5">
    <w:name w:val="WWNum5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erlin.de/ba-tempelhof-schoeneberg/aktuelles/hinweise/artikel.1008519.php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rddez\_abt\1%20BVV\14%20M&#252;ndliche%20Anfrage\%23%23%23%202021\BVV%20Vorlage%20M&#252;ndliche%20Anfr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9CEE0BE0114C0585E874D83D7495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88F812-E398-4A87-B806-B2297DA66D0E}"/>
      </w:docPartPr>
      <w:docPartBody>
        <w:p>
          <w:pPr>
            <w:pStyle w:val="899CEE0BE0114C0585E874D83D7495E5"/>
          </w:pPr>
          <w:r>
            <w:t>Wählen Sie ein Element aus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899CEE0BE0114C0585E874D83D7495E5">
    <w:name w:val="899CEE0BE0114C0585E874D83D7495E5"/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6116DC1BE6B2491B806E2FF97D01F639">
    <w:name w:val="6116DC1BE6B2491B806E2FF97D01F639"/>
  </w:style>
  <w:style w:type="character" w:styleId="Fett">
    <w:name w:val="Strong"/>
    <w:uiPriority w:val="2"/>
    <w:qFormat/>
    <w:rPr>
      <w:b/>
      <w:bCs/>
    </w:rPr>
  </w:style>
  <w:style w:type="paragraph" w:customStyle="1" w:styleId="8CE6B7F653B44887A6C1F9280487910B">
    <w:name w:val="8CE6B7F653B44887A6C1F9280487910B"/>
  </w:style>
  <w:style w:type="paragraph" w:customStyle="1" w:styleId="25489EDB3B50495C9BCA5DEE95358F29">
    <w:name w:val="25489EDB3B50495C9BCA5DEE95358F29"/>
  </w:style>
  <w:style w:type="paragraph" w:customStyle="1" w:styleId="22026A12D29E4F96941F8A7ACCFC68A0">
    <w:name w:val="22026A12D29E4F96941F8A7ACCFC68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D6872-A46D-4A63-A0BA-5F8008245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BVV Vorlage Mündliche Anfrage.dotx</Template>
  <TotalTime>0</TotalTime>
  <Pages>2</Pages>
  <Words>365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Kellermann, Jana</dc:creator>
  <cp:keywords>Word-Vorlage mit CD Berlins</cp:keywords>
  <cp:lastModifiedBy>Kellermann, Jana</cp:lastModifiedBy>
  <cp:revision>1</cp:revision>
  <cp:lastPrinted>2021-12-15T13:24:00Z</cp:lastPrinted>
  <dcterms:created xsi:type="dcterms:W3CDTF">2021-12-15T13:03:00Z</dcterms:created>
  <dcterms:modified xsi:type="dcterms:W3CDTF">2021-12-15T14:10:00Z</dcterms:modified>
</cp:coreProperties>
</file>